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2D" w:rsidRPr="007226DB" w:rsidRDefault="00D4602D" w:rsidP="00D4602D">
      <w:pPr>
        <w:contextualSpacing/>
        <w:jc w:val="right"/>
      </w:pPr>
      <w:r>
        <w:tab/>
      </w:r>
      <w:r>
        <w:tab/>
      </w:r>
      <w:r w:rsidRPr="007226DB">
        <w:t>Проект</w:t>
      </w:r>
    </w:p>
    <w:p w:rsidR="00D4602D" w:rsidRDefault="00D4602D" w:rsidP="00D4602D">
      <w:pPr>
        <w:tabs>
          <w:tab w:val="left" w:pos="6147"/>
        </w:tabs>
        <w:contextualSpacing/>
      </w:pPr>
      <w:r>
        <w:tab/>
      </w:r>
    </w:p>
    <w:p w:rsidR="00D4602D" w:rsidRPr="007226DB" w:rsidRDefault="00D4602D" w:rsidP="00D4602D">
      <w:pPr>
        <w:contextualSpacing/>
        <w:jc w:val="right"/>
      </w:pPr>
    </w:p>
    <w:p w:rsidR="00D4602D" w:rsidRPr="007226DB" w:rsidRDefault="00D4602D" w:rsidP="00D4602D">
      <w:pPr>
        <w:widowControl w:val="0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ПРАВИТЕЛЬСТВО УДМУРТСКОЙ РЕСПУБЛИКИ</w:t>
      </w:r>
    </w:p>
    <w:p w:rsidR="00D4602D" w:rsidRDefault="00D4602D" w:rsidP="00D4602D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D4602D" w:rsidRDefault="00D4602D" w:rsidP="00D4602D">
      <w:pPr>
        <w:contextualSpacing/>
        <w:jc w:val="center"/>
        <w:rPr>
          <w:b/>
        </w:rPr>
      </w:pPr>
    </w:p>
    <w:p w:rsidR="00D4602D" w:rsidRPr="00E25E6F" w:rsidRDefault="00D4602D" w:rsidP="00D4602D">
      <w:pPr>
        <w:jc w:val="center"/>
      </w:pPr>
    </w:p>
    <w:p w:rsidR="00D4602D" w:rsidRPr="00E25E6F" w:rsidRDefault="00D4602D" w:rsidP="00D4602D">
      <w:r w:rsidRPr="00E25E6F">
        <w:t>от «___»_______ 20</w:t>
      </w:r>
      <w:r>
        <w:t>24</w:t>
      </w:r>
      <w:r w:rsidRPr="00E25E6F">
        <w:t xml:space="preserve"> года </w:t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>
        <w:t xml:space="preserve">  </w:t>
      </w:r>
      <w:r w:rsidRPr="00E25E6F">
        <w:t xml:space="preserve"> № ___</w:t>
      </w:r>
    </w:p>
    <w:p w:rsidR="00D4602D" w:rsidRDefault="00D4602D" w:rsidP="00D4602D">
      <w:pPr>
        <w:contextualSpacing/>
        <w:rPr>
          <w:b/>
        </w:rPr>
      </w:pPr>
    </w:p>
    <w:p w:rsidR="00D4602D" w:rsidRDefault="00D4602D" w:rsidP="00D4602D">
      <w:pPr>
        <w:contextualSpacing/>
        <w:jc w:val="center"/>
        <w:rPr>
          <w:b/>
        </w:rPr>
      </w:pPr>
      <w:r>
        <w:t>г. Ижевск</w:t>
      </w:r>
    </w:p>
    <w:p w:rsidR="00D4602D" w:rsidRPr="004842B9" w:rsidRDefault="00D4602D" w:rsidP="00D4602D">
      <w:pPr>
        <w:contextualSpacing/>
        <w:jc w:val="center"/>
        <w:rPr>
          <w:b/>
        </w:rPr>
      </w:pPr>
    </w:p>
    <w:p w:rsidR="00D4602D" w:rsidRPr="004842B9" w:rsidRDefault="00D4602D" w:rsidP="00D4602D">
      <w:pPr>
        <w:contextualSpacing/>
        <w:jc w:val="center"/>
        <w:rPr>
          <w:b/>
        </w:rPr>
      </w:pPr>
    </w:p>
    <w:p w:rsidR="00D4602D" w:rsidRDefault="00D4602D" w:rsidP="00D4602D">
      <w:pPr>
        <w:contextualSpacing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Правительства </w:t>
      </w:r>
      <w:r w:rsidRPr="008D2ABC">
        <w:rPr>
          <w:b/>
        </w:rPr>
        <w:t xml:space="preserve">Удмуртской Республики от </w:t>
      </w:r>
      <w:r>
        <w:rPr>
          <w:b/>
        </w:rPr>
        <w:t>21</w:t>
      </w:r>
      <w:r w:rsidRPr="008D2ABC">
        <w:rPr>
          <w:b/>
        </w:rPr>
        <w:t xml:space="preserve"> </w:t>
      </w:r>
      <w:r>
        <w:rPr>
          <w:b/>
        </w:rPr>
        <w:t>декабря 2023 года № 858 «</w:t>
      </w:r>
      <w:r w:rsidRPr="001143AA">
        <w:rPr>
          <w:b/>
        </w:rPr>
        <w:t xml:space="preserve">Об утверждении </w:t>
      </w:r>
      <w:r w:rsidRPr="001143AA">
        <w:rPr>
          <w:b/>
          <w:bCs/>
        </w:rPr>
        <w:t>Правил отбора проектов по созданию, модернизации и (или) реконструкции объектов инфраструктуры индустриальных парков, промышленных технопарков в Удмуртской Республике</w:t>
      </w:r>
      <w:r w:rsidRPr="001143AA">
        <w:rPr>
          <w:b/>
        </w:rPr>
        <w:t xml:space="preserve"> и </w:t>
      </w:r>
      <w:r w:rsidRPr="001143AA">
        <w:rPr>
          <w:b/>
          <w:bCs/>
        </w:rPr>
        <w:t xml:space="preserve">Правил предоставления субсидий из бюджета Удмуртской Республики управляющим компаниям индустриальных парков или промышленных технопарков на возмещение затрат на создание, модернизацию и (или) реконструкцию объектов инфраструктуры индустриальных парков, промышленных технопарков </w:t>
      </w:r>
    </w:p>
    <w:p w:rsidR="00D4602D" w:rsidRPr="004842B9" w:rsidRDefault="00D4602D" w:rsidP="00D4602D">
      <w:pPr>
        <w:contextualSpacing/>
        <w:jc w:val="center"/>
        <w:rPr>
          <w:b/>
        </w:rPr>
      </w:pPr>
      <w:r w:rsidRPr="001143AA">
        <w:rPr>
          <w:b/>
          <w:bCs/>
        </w:rPr>
        <w:t>в Удмуртской Республике</w:t>
      </w:r>
      <w:r>
        <w:rPr>
          <w:b/>
          <w:bCs/>
        </w:rPr>
        <w:t>»</w:t>
      </w:r>
    </w:p>
    <w:p w:rsidR="00D4602D" w:rsidRPr="004842B9" w:rsidRDefault="00D4602D" w:rsidP="00D4602D">
      <w:pPr>
        <w:contextualSpacing/>
        <w:jc w:val="center"/>
        <w:rPr>
          <w:b/>
        </w:rPr>
      </w:pPr>
    </w:p>
    <w:p w:rsidR="00D4602D" w:rsidRPr="0092259E" w:rsidRDefault="00D4602D" w:rsidP="00D4602D">
      <w:pPr>
        <w:contextualSpacing/>
        <w:jc w:val="center"/>
        <w:rPr>
          <w:b/>
        </w:rPr>
      </w:pPr>
    </w:p>
    <w:p w:rsidR="00D4602D" w:rsidRPr="00D641E2" w:rsidRDefault="00D4602D" w:rsidP="00D4602D">
      <w:pPr>
        <w:ind w:firstLine="709"/>
        <w:contextualSpacing/>
        <w:jc w:val="both"/>
        <w:rPr>
          <w:b/>
        </w:rPr>
      </w:pPr>
      <w:r>
        <w:t xml:space="preserve">Правительство Удмуртской Республики </w:t>
      </w:r>
      <w:r w:rsidRPr="00D641E2">
        <w:rPr>
          <w:b/>
        </w:rPr>
        <w:t>постановляет: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>
        <w:t xml:space="preserve">Внести в постановление Правительства Удмуртской Республики от 21 декабря 2023 года № 858 «Об утверждении Правил отбора проектов по созданию, модернизации и (или) реконструкции объектов инфраструктуры индустриальных парков, промышленных технопарков в Удмуртской Республике и Правил предоставления субсидий из бюджета Удмуртской Республики управляющим компаниям индустриальных парков или </w:t>
      </w:r>
      <w:r w:rsidRPr="006B6C5C">
        <w:rPr>
          <w:color w:val="000000"/>
        </w:rPr>
        <w:t>промышленных технопарков на возмещение затрат на создание, модернизацию и (или) реконструкцию объектов инфраструктуры индустриальных парков, промышленных технопарков в Удмуртской Республике» следующие изменения: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1) наименование после слова «индустриальных» дополнить словами «(промышленных)»;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2) преамбулу изложить в следующей редакции: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«В соответствии</w:t>
      </w:r>
      <w:r>
        <w:t xml:space="preserve"> с постановлением Правительства Российской Федерации от 30 октября 2014 года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технологий, особых экономических зон», государственной программой Российской Федерации </w:t>
      </w:r>
      <w:r>
        <w:lastRenderedPageBreak/>
        <w:t xml:space="preserve">«Развитие промышленности и повышение ее конкурентоспособности», утвержденной постановлением Правительства </w:t>
      </w:r>
      <w:r w:rsidRPr="006B6C5C">
        <w:rPr>
          <w:color w:val="000000"/>
        </w:rPr>
        <w:t xml:space="preserve">Российской Федерации от 15 апреля 2014 года № 328 «Об утверждении государственной программы Российской Федерации «Развитие промышленности и повышение ее конкурентоспособности», Правительство Удмуртской Республики </w:t>
      </w:r>
      <w:r w:rsidRPr="006B6C5C">
        <w:rPr>
          <w:b/>
          <w:color w:val="000000"/>
        </w:rPr>
        <w:t>постановляет:</w:t>
      </w:r>
      <w:r w:rsidRPr="006B6C5C">
        <w:rPr>
          <w:color w:val="000000"/>
        </w:rPr>
        <w:t>»;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3) абзацы второй и третий пункта 1 после слова «индустриальных» дополнить словами «(промышленных)»;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4) дополнить пунктом 1.1 следующего содержания: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«1.1. Установить, что отбор получателей субсидий из бюджета Удмуртской Республики управляющим компаниям индустриальных (промышленных) парков или промышленных технопарков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в Удмуртской Республике осуществляется в порядке, определенном Правилами предоставления субсидий из бюджета Удмуртской Республики управляющим компаниям индустриальных (промышленных) парков или промышленных технопарков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в Удмуртской Республике, утверждёнными настоящим постановлением.»;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5) подпункты 1 и 2 пункта 2 изложить в следующей редакции: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«1) на заключение</w:t>
      </w:r>
      <w:r w:rsidRPr="00AD3C5C">
        <w:rPr>
          <w:color w:val="000000"/>
        </w:rPr>
        <w:t xml:space="preserve"> с Министерством промышленности и торговли Российской Федерации соглашения о предоставлении субсидии из федерального бюджета бюджету Удмуртской Республики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или технопарков в сфере высоких технологий (далее – соглашение о предоставлении субсидии), дополнительных соглашений к нему, на </w:t>
      </w:r>
      <w:r w:rsidRPr="006B6C5C">
        <w:rPr>
          <w:color w:val="000000"/>
        </w:rPr>
        <w:t>принятие решений о расторжении такого соглашения и об урегулировании вытекающих из него споров, а также на осуществление иных полномочий, предусмотренных соглашением о предоставлении субсидии, в том числе функций и ответственности за исполнение данного соглашения;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2) на взаимодействие с Министерством промышленности и торговли Российской Федерации и представление отчетности, предусмотренной соглашением о предоставлении субсидии, заключенным с Министерством промышленности и торговли Российской Федерации;»;</w:t>
      </w:r>
    </w:p>
    <w:p w:rsidR="00D4602D" w:rsidRPr="006B6C5C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6) Правила отбора проектов по созданию, модернизации и (или) реконструкции объектов инфраструктуры индустриальных парков, промышленных технопарков в Удмуртской Республике изложить в редакции согласно приложению 1;</w:t>
      </w:r>
    </w:p>
    <w:p w:rsidR="00D4602D" w:rsidRPr="006F48F7" w:rsidRDefault="00D4602D" w:rsidP="00D4602D">
      <w:pPr>
        <w:ind w:firstLine="709"/>
        <w:contextualSpacing/>
        <w:jc w:val="both"/>
        <w:rPr>
          <w:color w:val="000000"/>
        </w:rPr>
      </w:pPr>
      <w:r w:rsidRPr="006B6C5C">
        <w:rPr>
          <w:color w:val="000000"/>
        </w:rPr>
        <w:t>7)</w:t>
      </w:r>
      <w:r>
        <w:rPr>
          <w:color w:val="000000"/>
        </w:rPr>
        <w:t xml:space="preserve"> </w:t>
      </w:r>
      <w:r>
        <w:t xml:space="preserve">Правила предоставления субсидий из бюджета Удмуртской Республики управляющим компаниям индустриальных парков или промышленных технопарков на возмещение затрат на создание, модернизацию и (или) реконструкцию объектов инфраструктуры индустриальных парков, </w:t>
      </w:r>
      <w:r>
        <w:lastRenderedPageBreak/>
        <w:t>промышленных технопарков в Удмуртской Республике изложить в редакции согласно приложению 2.</w:t>
      </w:r>
    </w:p>
    <w:p w:rsidR="00D4602D" w:rsidRDefault="00D4602D" w:rsidP="00D4602D">
      <w:pPr>
        <w:contextualSpacing/>
        <w:jc w:val="center"/>
      </w:pPr>
    </w:p>
    <w:p w:rsidR="00D4602D" w:rsidRPr="007226DB" w:rsidRDefault="00D4602D" w:rsidP="00D4602D">
      <w:pPr>
        <w:contextualSpacing/>
        <w:jc w:val="center"/>
      </w:pPr>
    </w:p>
    <w:p w:rsidR="00D4602D" w:rsidRPr="007226DB" w:rsidRDefault="00D4602D" w:rsidP="00D4602D">
      <w:pPr>
        <w:tabs>
          <w:tab w:val="left" w:pos="851"/>
        </w:tabs>
        <w:contextualSpacing/>
        <w:jc w:val="center"/>
      </w:pPr>
    </w:p>
    <w:p w:rsidR="00D4602D" w:rsidRPr="0092259E" w:rsidRDefault="00D4602D" w:rsidP="00D4602D">
      <w:pPr>
        <w:contextualSpacing/>
        <w:rPr>
          <w:b/>
        </w:rPr>
      </w:pPr>
      <w:r w:rsidRPr="0092259E">
        <w:rPr>
          <w:b/>
        </w:rPr>
        <w:t>Председатель Правительства</w:t>
      </w:r>
    </w:p>
    <w:p w:rsidR="00D4602D" w:rsidRDefault="00D4602D" w:rsidP="00D4602D">
      <w:pPr>
        <w:rPr>
          <w:b/>
        </w:rPr>
      </w:pPr>
      <w:r w:rsidRPr="00E25E6F">
        <w:rPr>
          <w:b/>
        </w:rPr>
        <w:t xml:space="preserve">Удмуртской Республики </w:t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>
        <w:rPr>
          <w:b/>
        </w:rPr>
        <w:t xml:space="preserve">    </w:t>
      </w:r>
      <w:r w:rsidRPr="00E25E6F">
        <w:rPr>
          <w:b/>
        </w:rPr>
        <w:tab/>
        <w:t xml:space="preserve">      </w:t>
      </w:r>
      <w:r>
        <w:rPr>
          <w:b/>
        </w:rPr>
        <w:t xml:space="preserve">    Я.В. Семенов</w:t>
      </w:r>
    </w:p>
    <w:p w:rsidR="00D4602D" w:rsidRDefault="00D4602D" w:rsidP="00D4602D">
      <w:pPr>
        <w:contextualSpacing/>
        <w:rPr>
          <w:b/>
        </w:rPr>
      </w:pPr>
    </w:p>
    <w:p w:rsidR="00D4602D" w:rsidRPr="00C852A3" w:rsidRDefault="00D4602D" w:rsidP="00D4602D">
      <w:pPr>
        <w:contextualSpacing/>
        <w:rPr>
          <w:b/>
        </w:rPr>
      </w:pPr>
      <w:r>
        <w:tab/>
      </w:r>
    </w:p>
    <w:p w:rsidR="00D4602D" w:rsidRDefault="00D4602D" w:rsidP="00D4602D">
      <w:pPr>
        <w:contextualSpacing/>
      </w:pPr>
      <w:r w:rsidRPr="007226DB">
        <w:t>Проект вносит: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126"/>
        <w:gridCol w:w="3260"/>
      </w:tblGrid>
      <w:tr w:rsidR="00D4602D" w:rsidTr="00ED51EE">
        <w:tc>
          <w:tcPr>
            <w:tcW w:w="4361" w:type="dxa"/>
            <w:shd w:val="clear" w:color="auto" w:fill="auto"/>
          </w:tcPr>
          <w:p w:rsidR="00D4602D" w:rsidRDefault="00D4602D" w:rsidP="00ED51EE">
            <w:pPr>
              <w:contextualSpacing/>
              <w:jc w:val="both"/>
            </w:pPr>
            <w:r w:rsidRPr="001143AA">
              <w:t>министр промышленности и торговли Удмуртской Республики</w:t>
            </w:r>
          </w:p>
        </w:tc>
        <w:tc>
          <w:tcPr>
            <w:tcW w:w="2126" w:type="dxa"/>
            <w:shd w:val="clear" w:color="auto" w:fill="auto"/>
          </w:tcPr>
          <w:p w:rsidR="00D4602D" w:rsidRDefault="00D4602D" w:rsidP="00ED51EE">
            <w:pPr>
              <w:contextualSpacing/>
            </w:pPr>
            <w:r>
              <w:rPr>
                <w:lang w:val="en-US"/>
              </w:rPr>
              <w:t>&lt;</w:t>
            </w:r>
            <w:r>
              <w:t>ЭП</w:t>
            </w:r>
            <w:r>
              <w:rPr>
                <w:lang w:val="en-US"/>
              </w:rPr>
              <w:t>&gt;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4602D" w:rsidRDefault="00D4602D" w:rsidP="00ED51EE">
            <w:pPr>
              <w:contextualSpacing/>
              <w:jc w:val="right"/>
            </w:pPr>
            <w:r w:rsidRPr="001143AA">
              <w:t>В.А. Лашкарев</w:t>
            </w:r>
          </w:p>
        </w:tc>
      </w:tr>
    </w:tbl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Default="00D4602D" w:rsidP="00D4602D">
      <w:pPr>
        <w:contextualSpacing/>
      </w:pPr>
    </w:p>
    <w:p w:rsidR="00D4602D" w:rsidRPr="007226DB" w:rsidRDefault="00D4602D" w:rsidP="00D4602D">
      <w:pPr>
        <w:contextualSpacing/>
      </w:pPr>
      <w:r w:rsidRPr="007226DB">
        <w:t>_________________________________________________________________</w:t>
      </w:r>
      <w:r>
        <w:t>__</w:t>
      </w:r>
    </w:p>
    <w:p w:rsidR="003B607B" w:rsidRDefault="00D4602D" w:rsidP="00D4602D">
      <w:pPr>
        <w:contextualSpacing/>
        <w:jc w:val="both"/>
        <w:rPr>
          <w:sz w:val="22"/>
        </w:rPr>
      </w:pPr>
      <w:r w:rsidRPr="00A27CD1">
        <w:rPr>
          <w:sz w:val="22"/>
        </w:rPr>
        <w:t>Разослать:</w:t>
      </w:r>
      <w:r>
        <w:rPr>
          <w:sz w:val="22"/>
        </w:rPr>
        <w:t xml:space="preserve"> с</w:t>
      </w:r>
      <w:r w:rsidRPr="004E1898">
        <w:rPr>
          <w:sz w:val="22"/>
        </w:rPr>
        <w:t>екретариат Главы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</w:t>
      </w:r>
      <w:r w:rsidRPr="004E1898">
        <w:rPr>
          <w:sz w:val="22"/>
        </w:rPr>
        <w:t xml:space="preserve">, </w:t>
      </w:r>
      <w:r>
        <w:rPr>
          <w:sz w:val="22"/>
        </w:rPr>
        <w:t>с</w:t>
      </w:r>
      <w:r w:rsidRPr="004E1898">
        <w:rPr>
          <w:sz w:val="22"/>
        </w:rPr>
        <w:t>екретариат Председателя Правительства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еспублики, с</w:t>
      </w:r>
      <w:r w:rsidRPr="004E1898">
        <w:rPr>
          <w:sz w:val="22"/>
        </w:rPr>
        <w:t>екретариат Первого заместителя Председателя Правительства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</w:t>
      </w:r>
      <w:r w:rsidRPr="004E1898">
        <w:rPr>
          <w:sz w:val="22"/>
        </w:rPr>
        <w:t>, Минпромторг УР, М</w:t>
      </w:r>
      <w:r>
        <w:rPr>
          <w:sz w:val="22"/>
        </w:rPr>
        <w:t>инэкономики УР, Минфин Удмуртии,</w:t>
      </w:r>
      <w:r w:rsidRPr="004E1898">
        <w:rPr>
          <w:sz w:val="22"/>
        </w:rPr>
        <w:t xml:space="preserve"> Госсовет УР, ГКК УР, Управление Минюста России по Удмуртской Республике, СПС, web-сайт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lastRenderedPageBreak/>
        <w:t>Приложение 1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к постановлению Правительства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Удмуртской Республики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от «___»_________2024 года №____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«УТВЕРЖДЕНЫ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постановлением Правительства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b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Удмуртской Республики</w:t>
      </w:r>
    </w:p>
    <w:p w:rsidR="006A3EA1" w:rsidRPr="00441B3B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от 21 декабря 2023 года № 858</w:t>
      </w:r>
    </w:p>
    <w:p w:rsidR="006A3EA1" w:rsidRPr="00441B3B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441B3B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441B3B" w:rsidRDefault="006A3EA1" w:rsidP="006A3EA1">
      <w:pPr>
        <w:jc w:val="center"/>
        <w:rPr>
          <w:rFonts w:eastAsia="Times New Roman"/>
          <w:b/>
          <w:bCs/>
          <w:color w:val="000000" w:themeColor="text1"/>
        </w:rPr>
      </w:pPr>
      <w:r w:rsidRPr="00441B3B">
        <w:rPr>
          <w:rFonts w:eastAsia="Times New Roman"/>
          <w:b/>
          <w:bCs/>
          <w:color w:val="000000" w:themeColor="text1"/>
        </w:rPr>
        <w:t>ПРАВИЛА</w:t>
      </w:r>
    </w:p>
    <w:p w:rsidR="006A3EA1" w:rsidRPr="00441B3B" w:rsidRDefault="006A3EA1" w:rsidP="006A3EA1">
      <w:pPr>
        <w:jc w:val="center"/>
        <w:rPr>
          <w:rFonts w:eastAsia="Times New Roman"/>
          <w:b/>
          <w:bCs/>
          <w:color w:val="000000" w:themeColor="text1"/>
        </w:rPr>
      </w:pPr>
      <w:r w:rsidRPr="00441B3B">
        <w:rPr>
          <w:rFonts w:eastAsia="Times New Roman"/>
          <w:b/>
          <w:bCs/>
          <w:color w:val="000000" w:themeColor="text1"/>
        </w:rPr>
        <w:t>отбора проектов по созданию, модернизации и (или) реконструкции объектов инфраструктуры индустриальных (промышленных) парков, промышленных технопарков в Удмуртской Республике</w:t>
      </w:r>
    </w:p>
    <w:p w:rsidR="006A3EA1" w:rsidRPr="00441B3B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441B3B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441B3B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I. Общие положения</w:t>
      </w:r>
    </w:p>
    <w:p w:rsidR="006A3EA1" w:rsidRPr="00441B3B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441B3B" w:rsidRDefault="006A3EA1" w:rsidP="006A3EA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1. Настоящие Правила разработаны в целях реализации Правил предоставления субсидий из федерального бюджета бюджетам субъектов Российской Федерации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или технопарков в сфере высоких технологий, установленных в приложении № 17 к государственной программе Российской Федерации «Развитие промышленности и повышение её конкурентоспособности», утверждённой </w:t>
      </w:r>
      <w:r w:rsidRPr="00441B3B">
        <w:rPr>
          <w:rFonts w:eastAsia="Times New Roman"/>
          <w:color w:val="000000" w:themeColor="text1"/>
        </w:rPr>
        <w:t xml:space="preserve">постановлением Правительства </w:t>
      </w:r>
      <w:r w:rsidRPr="00441B3B">
        <w:rPr>
          <w:rFonts w:eastAsia="Times New Roman"/>
          <w:bCs/>
          <w:color w:val="000000" w:themeColor="text1"/>
        </w:rPr>
        <w:t>Российской Федерации</w:t>
      </w:r>
      <w:r w:rsidRPr="00441B3B">
        <w:rPr>
          <w:rFonts w:eastAsia="Times New Roman"/>
          <w:color w:val="000000" w:themeColor="text1"/>
        </w:rPr>
        <w:t xml:space="preserve">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</w:t>
      </w:r>
      <w:r w:rsidRPr="00441B3B">
        <w:rPr>
          <w:rFonts w:eastAsia="Times New Roman"/>
          <w:bCs/>
          <w:color w:val="000000" w:themeColor="text1"/>
        </w:rPr>
        <w:t>Правила предоставления субсидий из федерального бюджета)</w:t>
      </w:r>
      <w:r w:rsidRPr="00441B3B">
        <w:rPr>
          <w:rFonts w:eastAsia="Times New Roman"/>
          <w:color w:val="000000" w:themeColor="text1"/>
        </w:rPr>
        <w:t xml:space="preserve">, и Правил отбора субъектов Российской Федерации,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технологий, особых экономических зон, утверждённых постановлением Правительства Российской Федерации от 30 октября 2014 года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технологий, особых экономических зон» (далее – Правила отбора субъектов Российской Федерации) и определяют условия и порядок представления </w:t>
      </w:r>
      <w:r w:rsidRPr="00441B3B">
        <w:rPr>
          <w:rFonts w:eastAsia="Times New Roman"/>
          <w:bCs/>
          <w:color w:val="000000" w:themeColor="text1"/>
        </w:rPr>
        <w:t xml:space="preserve">управляющими компаниями индустриальных </w:t>
      </w:r>
      <w:r w:rsidRPr="00441B3B">
        <w:rPr>
          <w:rFonts w:eastAsia="Times New Roman"/>
          <w:bCs/>
          <w:color w:val="000000" w:themeColor="text1"/>
        </w:rPr>
        <w:lastRenderedPageBreak/>
        <w:t>(промышленных) парков или промышленных технопарков (далее – заявители)</w:t>
      </w:r>
      <w:r w:rsidRPr="00441B3B">
        <w:rPr>
          <w:rFonts w:eastAsia="Times New Roman"/>
          <w:color w:val="000000" w:themeColor="text1"/>
        </w:rPr>
        <w:t xml:space="preserve"> документов для включения их проектов по созданию, модернизации и (или) реконструкции </w:t>
      </w:r>
      <w:r w:rsidRPr="00441B3B">
        <w:rPr>
          <w:rFonts w:eastAsia="Times New Roman"/>
          <w:bCs/>
          <w:color w:val="000000" w:themeColor="text1"/>
        </w:rPr>
        <w:t xml:space="preserve">индустриальных (промышленных) парков, промышленных технопарков (далее – парки) в состав заявки, формируемой Удмуртской Республикой для участия в </w:t>
      </w:r>
      <w:r w:rsidRPr="00441B3B">
        <w:rPr>
          <w:rFonts w:eastAsia="Times New Roman"/>
          <w:color w:val="000000" w:themeColor="text1"/>
        </w:rPr>
        <w:t>отборе субъектов Российской Федерации, проводимом в соответствии с Правилами отбора субъектов Российской Федерации (далее соответственно – заявка на отбор субъектов Российской Федерации, отбор субъектов Российской Федерации), а также условия и порядок включения указанных парков в состав заявки.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2. В настоящих Правилах, если не установлено иное, понятия «инженерная инфраструктура», «инфраструктура для развития кадрового потенциала», «таможенные пошлины», «технологическая инфраструктура», «транспортная инфраструктура», «управляющая компания», «федеральные налоги», «энергетическая инфраструктура» используются в значениях, определённых Правилами предоставления субсидий из федерального бюджета и Правилами отбора субъектов Российской Федерации.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Понятия «индустриальный (промышленный) парк», «промышленный технопарк» используются в значениях, установленных Федеральным законом от 31 декабря 2014 года № 488-ФЗ «О промышленной политике в Российской Федерации».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Под «проектом» понимается комплекс реализуемых заявителем мероприятий по созданию, модернизации и (или) реконструкции объектов инфраструктуры парка, необходимых для обеспечения его функционирования, а также реализуемый заявителем инвестиционный проект по созданию парка путём модернизации, реконструкции и (или) создания объектов инфраструктуры на базе действующих промышленных предприятий.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Под «проектом реиндустриализации» понимается реализуемый заявителем инвестиционный проект по созданию парка путём модернизации, реконструкции и (или) создания объектов инфраструктуры на базе действующих промышленных предприятий.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Понятия «резидент индустриального (промышленного) парка» и «резидент промышленного технопарка» используются в значении, установленном в пункте 2 Правил отбора субъектов Российской Федерации для понятия «резидент парка».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Под «объектами инфраструктуры» понимаются объекты инженерной инфраструктуры, инфраструктуры для развития кадрового потенциала, транспортной инфраструктуры, технологической инфраструктуры, энергетической инфраструктуры.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Иные понятия, используемые в настоящих Правилах, применяются в значениях, определенных Правилами отбора постановления Правительства Российской Федерации № 1119, а также законодательством Российской Федерации о промышленной политике.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 xml:space="preserve">3. Для определения возможности включения создаваемого, модернизируемого и (или) реконструируемого заявителем парка в состав заявки Министерство промышленности и торговли Удмуртской Республики (далее – </w:t>
      </w:r>
      <w:r w:rsidRPr="00441B3B">
        <w:rPr>
          <w:rFonts w:eastAsia="Times New Roman"/>
          <w:color w:val="000000" w:themeColor="text1"/>
        </w:rPr>
        <w:lastRenderedPageBreak/>
        <w:t>Министерство) в соответствии с настоящими Правилами проводит отбор реализуемых заявителями проектов (далее – отбор проектов).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По результатам отбора проектов Министерство формирует заявку и направляет её на отбор субъектов Российской Федерации в соответствии с Правилами отбора субъектов Российской Федерации.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4. Для участия в отборе заявитель должен соответствовать следующим требованиям: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 xml:space="preserve">1) сведения </w:t>
      </w:r>
      <w:r>
        <w:rPr>
          <w:rFonts w:eastAsia="Times New Roman"/>
          <w:color w:val="000000" w:themeColor="text1"/>
        </w:rPr>
        <w:t xml:space="preserve">о </w:t>
      </w:r>
      <w:r w:rsidRPr="00441B3B">
        <w:rPr>
          <w:rFonts w:eastAsia="Times New Roman"/>
          <w:color w:val="000000" w:themeColor="text1"/>
        </w:rPr>
        <w:t>заявителе – управляющей компании индустриального (промышленного) парка и индустриальном (промышленном) парке, управление которым она осуществляет, должны содержаться в реестре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4 августа 2015 года № 794 «Об индустриальных (промышленных) парках и управляющих компаниях индустриальных (промышленных) парков» (далее – Реестр индустриальных (промышленных) парков);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441B3B">
        <w:rPr>
          <w:rFonts w:eastAsia="Times New Roman"/>
          <w:color w:val="000000" w:themeColor="text1"/>
        </w:rPr>
        <w:t>2) сведения о заявителе – управляющей компании промышленного технопарка должны содержаться в реестре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27 декабря 2019 года № 1863 «О промышленных технопарках и управляющих компаниях промышленных технопарков» (далее – Реестр промышленных технопарков).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5. Реализуемый заявителем проект должен соответствовать следующим требованиям: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результаты реализации проекта должны соответствовать результатам, установленным в пункте 4 Правил отбора субъектов Российской Федерации для использования субсидий, предоставляемых из федерального бюджета бюджетам субъекта Российской Федерации;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планируемый в проекте объем финансирования за счет бюджета Удмуртской Республики не должен превышать фактически понесенные заявителем затраты на создание, модернизацию и (или) реконструкцию объектов инфраструктуры парка, а также не должен превышать: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а) в случае реализации проекта по созданию, модернизации и (или) реконструкции объектов инфраструктуры индустриального (промышленного) парка – 30 млн рублей на 1 гектар общей площади территории индустриального (промышленного) парка или 90 тыс. рублей на 1 кв. метр общей площади создаваемых, модернизируемых и (или) реконструируемых объектов капитального строительства индустриального (промышленного)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б) в случае реализации проекта по созданию, модернизации и (или) реконструкции объектов инфраструктуры промышленного технопарка – 120 тыс. рублей на 1 кв. метр общей площади создаваемых, модернизируемых и (или) реконструируемых объектов недвижимого имущества промышленного технопарка;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в) в случае создания, модернизации и (или) реконструкции объектов инфраструктуры индустриального (промышленного) парка в рамках проекта реиндустриализации – 100 млн рублей на 1 гектар общей площади территории индустриального (промышленного) парка или 120 тыс. рублей на 1 кв. метр общей площади создаваемых, модернизируемых и (или) реконструируемых объектов капитального строительства индустриального (промышленного)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г) в случае создания, модернизации и (или) реконструкции объектов инфраструктуры промышленного технопарка в рамках проекта реиндустриализации – 150 тыс. рублей на 1 кв. метр общей площади объектов недвижимого имущества, создание, модернизация и (или) реконструкция которых осуществляются в рамках проекта реиндустриализации;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д) в случае реализации проекта по созданию, модернизации и (или) реконструкции объектов инфраструктуры парка частной формы собственности – 75 процентов фактически понесенных управляющей компанией парка затрат на создание, модернизацию и (или) реконструкцию объектов инфраструктуры парка, в отношении которых получено положительное заключение государственной экспертизы достоверности сметной стоимости;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е) сумму федеральных налогов и таможенных пошлин, уплаченных резидентами парка, определяемую в соответствии с пунктом 9 Правил отбора субъектов Российской Федерации, а в случае реализации проекта реиндустриализации – размера прироста федеральных налогов и таможенных пошлин, уплаченных резидентами парка, определяемого в соответствии с пунктом 50 Правил отбора субъектов Российской Федерации. При этом не учитываются федеральные налоги и таможенные пошлины, указанные в пункте 8 Правил отбора субъектов Российской Федерации;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3) в проекте при определении объема финансирования за счет бюджета Удмуртской Республики могут быть учтены затраты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капитальные затраты на создание, модернизацию и (или) реконструкцию: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а) для управляющих компаний индустриальных (промышленных) парков – объектов, относящихся к инженерной, энергетической, транспортной инфраструктуре, а также зданий, строений и сооружений, предназначенных для резидентов индустриального (промышленного) парка (в том числе инфраструктуры для развития кадрового потенциала), входящих в соответствии с законодательством Российской Федерации о промышленной политике в состав промышленной инфраструктуры;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б) для управляющих компаний промышленных технопарков – объектов, относящихся к инженерной, энергетической, транспортной, технологической инфраструктуре, а также зданий строений и сооружений, предназначенных для резидентов промышленного технопарка (в том числе инфраструктуры для развития кадрового потенциала);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 в проекте при определении объема финансирования за счет бюджета Удмуртской Республики не могут учитываться затраты на: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а) создание, модернизацию и (или) реконструкцию объектов инфраструктуры парка, если они осуществлялись за счет средств субъектов естественных монополий или если указанные объекты включены в инвестиционные программы субъектов естественных монополий (за исключением случаев, если создание, модернизация и (или) реконструкция объектов инфраструктуры парка осуществляются за счет средств управляющей компании, уплаченных в качестве платы за технологическое присоединение объектов инфраструктуры парка);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б) создание инфраструктуры парка, предназначенной для обеспечения деятельности юридических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топливом, производства подакцизных товаров, за исключением автомобилей легковых и мотоциклов, а также юридических лиц и индивидуальных предпринимателей, осуществляющих производство нефтепродуктов из тяжелых нефтяных остатков (нефтяных фракций, начало температуры кипения которых выше 500 °C) на установках замедленного коксования, гидрокрекинга тяжелых нефтяных остатков и гидроконверсии тяжелых нефтяных остатков;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в) создание, модернизацию и (или) реконструкцию объектов инфраструктуры парка, которые осуществляются Удмуртской Республикой в соответствии с обязательствами, принятыми на основании концессионного соглашения, соглашения о государственно-частном партнерстве, а также соглашения о муниципально-частном партнерстве;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г) создание, модернизацию и (или) реконструкцию объектов инфраструктуры парка, которые осуществляются или осуществлены за счет средств федерального бюджета (средств бюджета Удмуртской Республики с использованием средств федерального бюджета) на основании иных, кроме Правил отбора субъектов Российской Федерации, нормативных правовых актов Российской Федерации;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д) создание, модернизацию и (или) реконструкцию объектов инфраструктуры парка, которые осуществляются на территориях земельных участков, расположенных в границах особой экономической зоны, при условии, что создание, модернизация и (или) реконструкция объектов инфраструктуры в границах таких земельных участков осуществлены в рамках реализации Федерального закона «Об особых экономических зонах в Российской Федерации» с привлечением средств федерального бюджета (средств бюджета Удмуртской Республики с использованием средств федерального бюджета), либо создание, модернизацию и (или) реконструкцию объектов </w:t>
      </w:r>
      <w:r w:rsidRPr="00441B3B">
        <w:rPr>
          <w:rFonts w:eastAsia="Times New Roman"/>
          <w:bCs/>
          <w:color w:val="000000" w:themeColor="text1"/>
        </w:rPr>
        <w:lastRenderedPageBreak/>
        <w:t>инфраструктуры особой экономической зоны, которые осуществляется на территориях земельных участков, расположенных в границах парка, при условии, что создание, модернизация и (или) реконструкция объектов инфраструктуры в границах таких земельных участков осуществлены с привлечением средств федерального бюджета (средств бюджета Удмуртской Республики с использованием средств федерального бюджета) на основании иных, кроме Правил отбора субъектов Российской Федерации, нормативных правовых актов Российской Федерации.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Требование, установленное настоящим подпунктом, не применяется если отсутствует пересечение территории парка с границами территории особой экономической зоны, а также когда резидентами парка и особой экономической зоны являются разные юридические лица;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е) создание, модернизацию и (или) реконструкцию объектов инфраструктуры парка, которые осуществляются или осуществлены резидентом парка или резидентом особой экономической зоны;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ж) затраты, которые понесены за пределами: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срока реализации проекта;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5 лет (начиная с года, который будет Удмуртской Республикой в соглашении о предоставлении субсидии из федерального бюджета в соответствии с пунктом 47 Правил отбора субъектов Российской Федерации) в течение срока реализации проекта, или 10 лет до года подачи Удмуртской Республикой первой заявки на получение субсидии из федерального бюджета, с использованием средств которой планируется возмещение затрат, понесенных управляющей компании;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10 или 15 лет (начиная с года, указанного Удмуртской Республикой в соглашении о предоставлении субсидии из федерального бюджета в соответствии с пунктом 47 Правил отбора субъектов Российской Федерации) в период реализации проекта – если Удмуртская Республика воспользовалась правом, предусмотренным пунктом 43 Правил отбора субъектов Российской Федерации, и выполнила условия, установленные подпунктом «б» пункта 48 указанных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5) период реализации проекта не должен превышать 20 лет.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441B3B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II. Порядок проведения отбора проекта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6. Объявление о проведении отбора проектов Министерство размещает на своём официальном сайте в информационно-телекоммуникационной сети «Интернет» (далее – официальный сайт) не позднее 2 квартала очередного года с указанием </w:t>
      </w:r>
      <w:r w:rsidRPr="00441B3B">
        <w:rPr>
          <w:bCs/>
          <w:color w:val="000000" w:themeColor="text1"/>
        </w:rPr>
        <w:t>сроков, порядка и условий проведения отбора проектов.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7. Для участия в отборе проектов заявитель в сроки, указанные в объявлении о проведении отбора проектов, представляет в Министерство следующие документы (далее – документы на участие в отборе проектов):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1) заявление на участие в отборе проектов по форме, утверждённой </w:t>
      </w:r>
      <w:r w:rsidRPr="00441B3B">
        <w:rPr>
          <w:bCs/>
          <w:color w:val="000000" w:themeColor="text1"/>
        </w:rPr>
        <w:t>Министерство</w:t>
      </w:r>
      <w:r w:rsidRPr="00441B3B">
        <w:rPr>
          <w:rFonts w:eastAsia="Times New Roman"/>
          <w:bCs/>
          <w:color w:val="000000" w:themeColor="text1"/>
        </w:rPr>
        <w:t>м (далее – заявление);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2) копия приказа Министерства промышленности и торговли Российской Федерации о включении управляющей компании</w:t>
      </w:r>
      <w:r>
        <w:rPr>
          <w:rFonts w:eastAsia="Times New Roman"/>
          <w:bCs/>
          <w:color w:val="000000" w:themeColor="text1"/>
        </w:rPr>
        <w:t xml:space="preserve"> в </w:t>
      </w:r>
      <w:r w:rsidRPr="00441B3B">
        <w:rPr>
          <w:rFonts w:eastAsia="Times New Roman"/>
          <w:color w:val="000000" w:themeColor="text1"/>
        </w:rPr>
        <w:t>Реестр индустриальных (промышленных) парков</w:t>
      </w:r>
      <w:r w:rsidRPr="00441B3B">
        <w:rPr>
          <w:rFonts w:eastAsia="Times New Roman"/>
          <w:bCs/>
          <w:color w:val="000000" w:themeColor="text1"/>
        </w:rPr>
        <w:t>, а в случае наличия изменений в сведениях, содержащихся в указанном Реестре – также копии приказа Министерства промышленности и торговли Российской Федерации о внесении соответствующих изменений в Реестр индустриальных (промышленных) парков. Документы, указанные в настоящем подпункте, представляются управляющей компанией индустриального (промышленного)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3) копия приказа Министерства промышленности и торговли Российской Федерации о включении управляющей компании в </w:t>
      </w:r>
      <w:r w:rsidRPr="00441B3B">
        <w:rPr>
          <w:rFonts w:eastAsia="Times New Roman"/>
          <w:color w:val="000000" w:themeColor="text1"/>
        </w:rPr>
        <w:t>Реестр промышленных технопарков</w:t>
      </w:r>
      <w:r w:rsidRPr="00441B3B">
        <w:rPr>
          <w:rFonts w:eastAsia="Times New Roman"/>
          <w:bCs/>
          <w:color w:val="000000" w:themeColor="text1"/>
        </w:rPr>
        <w:t>, а в случае наличия изменений в сведениях, содержащихся в указанном Реестре – также копии приказа Министерства промышленности и торговли Российской Федерации о внесении соответствующих изменений в Реестр промышленных технопарков. Документы, указанные в настоящем подпункте, представляются управляющей компанией промышленного технопарка;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 паспорт проекта по форме, утвержденной Министерством;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5) бизнес-план, включающий в себя финансово-экономическую модель (с учетом характера компенсации затрат, информации о размере затрат, учтенных при определении цены (тарифа) за технологическое присоединение и (или) пользование инфраструктурой, и о размере затрат, учтенных при расчете налога на прибыль в качестве инвестиционного налогового вычета в порядке, определенном статьей 286.1 Налогового кодекса Российской Федерации), и мастер-план парка, подписанные руководителем заявителя и заверенные печатью (при наличии печати);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6) копии годовых бухгалтерских отчетов заявителя за последние 3 финансовых года или за весь период деятельности управляющей компании (если период деятельности управляющей компании парка менее 3 лет), включающие бухгалтерские балансы, а также информацию о причинах возникновения убытков (в случае наличия у управляющей компании убытков согласно представленным документам);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7) справка заявителя о мерах государственной поддержки, предоставленных (предоставляемых) Российской Федерацией, и (или) Удмуртской Республикой, и (или) муниципальным образованием в целях финансового обеспечения (возмещения) затрат на создание, модернизацию и (или) реконструкцию объектов инфраструктуры парка, заверенная руководителем заявителя и главным бухгалтером заявителя;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8) согласие заявителя на публикацию (размещение) в информационно-телекоммуникационной сети «Интернет» информации об управляющей компании парка, о подаваемой заявке;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9) в случае наличия в парке якорного резидента дополнительно представляются: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а) соглашение между якорными резидентами, Удмуртской Республикой и (или) управляющей компанией о реализации проекта по созданию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б) заявление о готовности не менее одного якорного резидента участвовать в проекте по созданию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в) решение органа, уполномоченного принимать решения о крупных сделках в объеме обязательств якорного резидента, в рамках соглашения о реализации проекта по созданию парка.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9. Документы на участие в отборе проектов представляются в Министерство в одном экземпляре на бумажном носителе. Одновременно с указанными документами на бумажном носителе заявитель представляет </w:t>
      </w:r>
      <w:r w:rsidRPr="00441B3B">
        <w:rPr>
          <w:rFonts w:eastAsia="Times New Roman"/>
          <w:bCs/>
          <w:color w:val="000000" w:themeColor="text1"/>
          <w:lang w:val="en-US"/>
        </w:rPr>
        <w:t>flash</w:t>
      </w:r>
      <w:r w:rsidRPr="00441B3B">
        <w:rPr>
          <w:rFonts w:eastAsia="Times New Roman"/>
          <w:bCs/>
          <w:color w:val="000000" w:themeColor="text1"/>
        </w:rPr>
        <w:t>-носитель с электронными копиями (документами на бумажном носителе, преобразованными в электронную форму путем сканирования) таких документов.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Заявитель несет все расходы, связанные с направлением в Министерство документов на участие в отборе проектов, а также ответственность </w:t>
      </w:r>
      <w:r>
        <w:rPr>
          <w:rFonts w:eastAsia="Times New Roman"/>
          <w:bCs/>
          <w:color w:val="000000" w:themeColor="text1"/>
        </w:rPr>
        <w:t xml:space="preserve">за </w:t>
      </w:r>
      <w:r w:rsidRPr="00441B3B">
        <w:rPr>
          <w:rFonts w:eastAsia="Times New Roman"/>
          <w:bCs/>
          <w:color w:val="000000" w:themeColor="text1"/>
        </w:rPr>
        <w:t xml:space="preserve">их достоверность и соответствие электронных копий таких документов их экземплярам на бумажном носителе. В случае несоответствия электронной копии документа его экземпляру на бумажном носителе такие документы считаются недостоверными. 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10. Документы на участие в отборе проектов, представляемые на бумажном носителе: 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представляются на русском языке в машинописном и (или) рукописном виде без подчисток, исправлений, помарок, неустановленных сокращений. В случае направления документов на иностранном языке одновременно с ними направляется их перевод на русский язык, верность которого засвидетельствована нотариально;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должны быть сброшюрованы, страницы пронумерованы, прошиты, подписаны руководителем заявителя и заверены печатью (при её наличии).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11. Электронные копии документов на участие в отборе проектов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12. При поступлении документов на участие в отборе проектов Министерство в день их поступления регистрирует заявление.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13. Министерство в течение 20 рабочих дней со дня поступления документов на участие в отборе проектов осуществляет их рассмотрение и принимает решение о принятии проекта или о его отклонении.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Принятие решение оформляется приказом Министерства.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14. В процессе рассмотрения документов на участие в отборе проектов Министерство: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в рамках межведомственного взаимодействия запрашивает в государственных органах (органах местного самоуправления), в распоряжении которых они находятся: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а) сведения о наличии (отсутствии) у заявителя задолженности по уплате налогов, сборов, страховых взносов, пеней, штрафов, процентов;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б) выписку из Единого государственного реестра юридических лиц в отношении заявителя;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в) сведения о мерах государственной поддержки, предоставленных (предоставляемых) заявителю Российской Федерацией, и (или) Удмуртской Республикой, и (или) муниципальным образованием в целях финансового обеспечения (возмещения) затрат на создание, модернизацию и (или) реконструкцию объектов инфраструктуры парка;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рассматривает представленные заявителем документы на участие в отборе на предмет: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а) соответствия заявителя требованиям, установленным пунктом 4 настоящих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б) соответствия проекта требованиям, установленным пунктом 5 настоящих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в) соответствия представленных документов требованиям, установленным пунктами 7 – </w:t>
      </w:r>
      <w:r>
        <w:rPr>
          <w:rFonts w:eastAsia="Times New Roman"/>
          <w:bCs/>
          <w:color w:val="000000" w:themeColor="text1"/>
        </w:rPr>
        <w:t>11</w:t>
      </w:r>
      <w:r w:rsidRPr="00441B3B">
        <w:rPr>
          <w:rFonts w:eastAsia="Times New Roman"/>
          <w:bCs/>
          <w:color w:val="000000" w:themeColor="text1"/>
        </w:rPr>
        <w:t xml:space="preserve"> настоящих Правил, и достоверности содержащихся в них сведений;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3) определяет возможность финансирования из средств бюджета Удмуртской Республики создания, модернизации и (или) реконструкции объектов инфраструктуры парка.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15. </w:t>
      </w:r>
      <w:r w:rsidRPr="00441B3B">
        <w:rPr>
          <w:bCs/>
          <w:color w:val="000000" w:themeColor="text1"/>
        </w:rPr>
        <w:t>По результатам рассмотрения документов на участие в отборе Министерство принимает решение об отборе проекта или о его отклонении</w:t>
      </w:r>
      <w:r w:rsidRPr="00441B3B">
        <w:rPr>
          <w:rFonts w:eastAsia="Times New Roman"/>
          <w:bCs/>
          <w:color w:val="000000" w:themeColor="text1"/>
        </w:rPr>
        <w:t>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16. Основаниями для отклонения проекта являются: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несоответствие заявителя требованиям, установленным пунктом 4 настоящих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несоответствие реализуемого заявителем проекта требованиям, установленным пунктом 5 настоящих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3) несоответствие представленных заявителем документов на участие в отборе требованиям, установленным пунктами 7 – 1</w:t>
      </w:r>
      <w:r>
        <w:rPr>
          <w:rFonts w:eastAsia="Times New Roman"/>
          <w:bCs/>
          <w:color w:val="000000" w:themeColor="text1"/>
        </w:rPr>
        <w:t>1</w:t>
      </w:r>
      <w:r w:rsidRPr="00441B3B">
        <w:rPr>
          <w:rFonts w:eastAsia="Times New Roman"/>
          <w:bCs/>
          <w:color w:val="000000" w:themeColor="text1"/>
        </w:rPr>
        <w:t xml:space="preserve"> настоящих Правил или непредставление (представление не в полном объёме) указанных документов;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 поступление документов на участие в отборе после окончания срока их приёма, указанного в объявлении об отборе проектов;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5)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6) превышение объема планируемого размера субсидий, подлежащих предоставлению заявителю из бюджета Удмуртской Республики в целях возмещения части затрат на создание, модернизацию и (или) реконструкцию объектов инфраструктуры парка предусмотренных законом о бюджете Удмуртской Республики на текущий финансовый год и на плановый период.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17. В течение 7 рабочих дней после принятия решения о принятии проекта или о его отклонении Министерство размещает на своём официальном сайте уведомление об итогах отбора проектов с указанием: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дата, время и место проведения рассмотрения заявок;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информация о заявителях, заявки которых были рассмотрены;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3) информация о заявителях, заявки которых были отклонены, с указанием причин их отклонения, в том числе положений настоящих Правил, которым не соответствуют такие заявки;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 наименование заявителей, с которыми заключаются соглашения о реализации проектов (далее – соглашения).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441B3B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  <w:lang w:val="en-US"/>
        </w:rPr>
        <w:t>III</w:t>
      </w:r>
      <w:r w:rsidRPr="00441B3B">
        <w:rPr>
          <w:rFonts w:eastAsia="Times New Roman"/>
          <w:bCs/>
          <w:color w:val="000000" w:themeColor="text1"/>
        </w:rPr>
        <w:t>. Действия, совершаемые после отбора проекта</w:t>
      </w:r>
    </w:p>
    <w:p w:rsidR="006A3EA1" w:rsidRPr="00441B3B" w:rsidRDefault="006A3EA1" w:rsidP="006A3EA1">
      <w:pPr>
        <w:rPr>
          <w:rFonts w:eastAsia="Times New Roman"/>
          <w:bCs/>
          <w:color w:val="000000" w:themeColor="text1"/>
        </w:rPr>
      </w:pP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18. В течение 5 рабочих дней со дня размещения на официальном сайте уведомления об итогах отбора проектов Министерство направляет заявителю уведомление о необходимости заключения соглашения с приложенным проектом указанного соглашения в соответствии с типовой формой, утвержденной Министерством, в двух экземплярах.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Заявитель в течение 5 рабочих дней со дня получения проекта соглашения подписывает оба экземпляра, проставляет на них печать (при её наличии) и представляет их в Министерство.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После представления заявителем двух экземпляров соглашения Министерство в течение 5 рабочих дней подписывает их и направляет заявителю один экземпляр соглашения почтовыми отправлением либо вручает нарочно.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 случае неподписания заявителем двух экземпляров соглашения в срок, указанный в абзаце втором настоящего пункта, считается, что он отказался от заключения соглашения и реализации проекта.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19. Типовая форма соглашения, утверждаемая Министерством, должна в том числе содержать: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 значения показателей, необходимых для достижения результата реализации проекта;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 обязательство заявителя по выполнению графика реализации проекта, включая промежуточные и конечные сроки реализации проекта;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3) планируемый срок окончания создания объектов инфраструктуры парка и направления копий документов, подтверждающих осуществление указанных работ;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 ежегодный прогноз размера субсидий (с поквартальной разбивкой первого финансового года предоставления субсидии) на весь период реализации проекта с приложением справки-расчета размера субсидий, рассчитанного в соответствии с Правилами предоставления субсидий из бюджета Удмуртской Республики управляющим компаниям индустриальных (промышленных) парков или промышленных технопарков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в Удмуртской Республике, утверждёнными Правительством Удмуртской Республики;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5) перечень мероприятий по созданию, модернизации и (или) реконструкции объектов инфраструктуры парка, которые будут осуществлены заявителем за счет средств бюджета Удмуртской Республики, предоставленных </w:t>
      </w:r>
      <w:r w:rsidRPr="00441B3B">
        <w:rPr>
          <w:rFonts w:eastAsia="Times New Roman"/>
          <w:bCs/>
          <w:color w:val="000000" w:themeColor="text1"/>
        </w:rPr>
        <w:lastRenderedPageBreak/>
        <w:t>заявителю в виде субсидий, с указанием размеров затрат на их реализацию, а также перечень объектов инфраструктуры парка, возмещение затрат на создание, модернизацию и (или) реконструкцию которых заявитель планирует получить из бюджета Удмуртской Республики;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6) сроки и формы представления заявителем отчетности о реализации проекта;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7) условие о согласовании новых условий соглашения или условий расторжения соглашения;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8) условие о возможности расторжения соглашения в случае не включения проекта в утверждённый Правительством Российской Федерации в соответствии с пунктом 22 Правил отбора субъектов Российской Федерации перечень проектов по созданию, модернизации и (или) реконструкции объектов инфраструктуры индустриальных парков, промышленных технопарков и технопарков в сфере высоких технологий (далее – Перечень проектов).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20. Сведения о проекте (проектах), принятом (принятых) Министерством по результатам отбора, используются для подготовки заявки на отбор субъектов Российской Федерации в соответствии с Правилами отбора субъектов Российской Федерации и методическими рекомендациями, утверждёнными Министерством промышленности и торговли Российской Федерации (далее – Минпромторг России).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Направление заявки на участие в отборе субъектов Российской Федерации в Минпромторг России, её последующее рассмотрение Минпромторгом России осуществляется в соответствии с Правилами отбора субъектов Российской Федерации.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21. В случае если представленная Удмуртской Республикой заявка на отбор субъектов Российской Федерации отобрана Минпромторгом России и содержащийся в её составе проект заявителя включён в Перечень проектов, Министерство в течение 10 рабочих дней со дня включения проекта заявителя в указанный Перечень проектов направляет заявителю соответствующее уведомление.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 xml:space="preserve">Предоставление такому заявителю субсидий из бюджета Удмуртской Республики на возмещение затрат на создание, модернизацию и (или) реконструкцию объектов инфраструктуры парка в рамках проекта, включённого в Перечень проектов, осуществляется в соответствии с </w:t>
      </w:r>
      <w:r>
        <w:rPr>
          <w:rFonts w:eastAsia="Times New Roman"/>
          <w:bCs/>
          <w:color w:val="000000" w:themeColor="text1"/>
        </w:rPr>
        <w:t>П</w:t>
      </w:r>
      <w:r w:rsidRPr="00441B3B">
        <w:rPr>
          <w:rFonts w:eastAsia="Times New Roman"/>
          <w:bCs/>
          <w:color w:val="000000" w:themeColor="text1"/>
        </w:rPr>
        <w:t xml:space="preserve">равилами предоставления субсидий из бюджета Удмуртской Республики управляющим компаниям индустриальных </w:t>
      </w:r>
      <w:r w:rsidRPr="00150845">
        <w:rPr>
          <w:rFonts w:eastAsia="Times New Roman"/>
          <w:bCs/>
          <w:color w:val="000000" w:themeColor="text1"/>
        </w:rPr>
        <w:t>(промышленных)</w:t>
      </w:r>
      <w:r>
        <w:rPr>
          <w:rFonts w:eastAsia="Times New Roman"/>
          <w:bCs/>
          <w:color w:val="000000" w:themeColor="text1"/>
        </w:rPr>
        <w:t xml:space="preserve"> </w:t>
      </w:r>
      <w:r w:rsidRPr="00441B3B">
        <w:rPr>
          <w:rFonts w:eastAsia="Times New Roman"/>
          <w:bCs/>
          <w:color w:val="000000" w:themeColor="text1"/>
        </w:rPr>
        <w:t xml:space="preserve">парков или промышленных технопарков на возмещение затрат на создание, модернизацию и (или) реконструкцию объектов инфраструктуры индустриальных </w:t>
      </w:r>
      <w:r w:rsidRPr="00150845">
        <w:rPr>
          <w:rFonts w:eastAsia="Times New Roman"/>
          <w:bCs/>
          <w:color w:val="000000" w:themeColor="text1"/>
        </w:rPr>
        <w:t>(промышленных)</w:t>
      </w:r>
      <w:r>
        <w:rPr>
          <w:rFonts w:eastAsia="Times New Roman"/>
          <w:bCs/>
          <w:color w:val="000000" w:themeColor="text1"/>
        </w:rPr>
        <w:t xml:space="preserve"> </w:t>
      </w:r>
      <w:r w:rsidRPr="00441B3B">
        <w:rPr>
          <w:rFonts w:eastAsia="Times New Roman"/>
          <w:bCs/>
          <w:color w:val="000000" w:themeColor="text1"/>
        </w:rPr>
        <w:t>парков, промышленных технопарков в Удмуртской Республике, утверждёнными Правительством Удмуртской Республики.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22. В случае получения отказа в удовлетворении представленной Удмуртской Республикой заявки на отбор субъектов Российской Федерации, в состав которой включён проект заявителя, Министерство в течение 10 дней со дня поступления указанной информации от Минпромторга России направляет заявителю соответствующее уведомление.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lastRenderedPageBreak/>
        <w:t>23. Заявитель, проект которого включён в Перечень проектов, вправе не чаще одного раза в год (не позднее 1 июня) обращаться в Министерство с заявлением о внесении изменений в проект в случае наличия одного из оснований, указанных в пунктах 39, 43 Правил отбора субъектов Российской Федерации, содержащим мотивированное обоснование, а в случае, указанном в подпункте «ж» пункта 39 Правил отбора субъектов Российской Федерации – также с приложением документов, подтверждающих соответствующие обстоятельства.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24. Заявление о внесении изменений в проект, указанное в пункте 23 настоящих Правил, рассматривается Министерством в течение 15 рабочих дней со дня его поступления и принимает решение о внесении изменений в паспорт проекта, представленный в составе заявки на отбор субъектов Российской Федерации, либо отклоняет указанное заявление в случае, если: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1) основания, указанные заявителем в представленном заявлении, отсутствуют;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2) к заявлению не приложены документы, подтверждающие наличие оснований, предусмотренных подпунктом «ж» пункта 39 Правил отбора субъектов Российской Федерации (если заявитель в заявлении о внесении изменений в проект указал на наличие данного основания);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3) заявление представлено по истечении срока, установленного пунктом 20 настоящих Правил;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4) заявление представлено по истечении 20 последовательных кварталов после подачи Удмуртской Республикой первой заявки на получение субсидии из федерального бюджета в отношении проекта, включённого в Перечень проектов (если заявитель в заявлении о внесении изменений в проект указал на наличие основания, установленного пунктом 43 Правил отбора субъектов Российской Федерации).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25. В случае принятия Министерством решения о внесении изменений в паспорт проекта, представленный в составе заявки на отбор субъектов Российской Федерации, внесение изменений в указанный паспорт осуществляется в порядке, установленном Правилами отбора субъектов Российской Федерации.</w:t>
      </w:r>
    </w:p>
    <w:p w:rsidR="006A3EA1" w:rsidRPr="00441B3B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441B3B">
        <w:rPr>
          <w:rFonts w:eastAsia="Times New Roman"/>
          <w:bCs/>
          <w:color w:val="000000" w:themeColor="text1"/>
        </w:rPr>
        <w:t>В случае принятия решения об отклонении заявления о внесении изменений в проект Министерство в течение 5 рабочих дней со дня его принятия направляет заявителю соответствующее уведомление с указанием причины отказа.».</w:t>
      </w:r>
    </w:p>
    <w:p w:rsidR="006A3EA1" w:rsidRPr="00441B3B" w:rsidRDefault="006A3EA1" w:rsidP="006A3EA1">
      <w:pPr>
        <w:rPr>
          <w:color w:val="000000" w:themeColor="text1"/>
        </w:rPr>
      </w:pPr>
    </w:p>
    <w:p w:rsidR="006A3EA1" w:rsidRPr="00441B3B" w:rsidRDefault="006A3EA1" w:rsidP="006A3EA1">
      <w:pPr>
        <w:rPr>
          <w:color w:val="000000" w:themeColor="text1"/>
        </w:rPr>
      </w:pPr>
    </w:p>
    <w:p w:rsidR="006A3EA1" w:rsidRPr="00441B3B" w:rsidRDefault="006A3EA1" w:rsidP="006A3EA1">
      <w:pPr>
        <w:jc w:val="center"/>
        <w:rPr>
          <w:color w:val="000000" w:themeColor="text1"/>
        </w:rPr>
      </w:pPr>
      <w:r w:rsidRPr="00441B3B">
        <w:rPr>
          <w:color w:val="000000" w:themeColor="text1"/>
        </w:rPr>
        <w:t>__________________</w:t>
      </w:r>
    </w:p>
    <w:p w:rsidR="006A3EA1" w:rsidRPr="00441B3B" w:rsidRDefault="006A3EA1" w:rsidP="006A3EA1">
      <w:pPr>
        <w:rPr>
          <w:color w:val="000000" w:themeColor="text1"/>
        </w:rPr>
      </w:pPr>
    </w:p>
    <w:p w:rsidR="006A3EA1" w:rsidRPr="00441B3B" w:rsidRDefault="006A3EA1" w:rsidP="006A3EA1">
      <w:pPr>
        <w:rPr>
          <w:color w:val="000000" w:themeColor="text1"/>
        </w:rPr>
      </w:pPr>
    </w:p>
    <w:p w:rsidR="006A3EA1" w:rsidRPr="00441B3B" w:rsidRDefault="006A3EA1" w:rsidP="006A3EA1">
      <w:pPr>
        <w:rPr>
          <w:color w:val="000000" w:themeColor="text1"/>
        </w:rPr>
      </w:pPr>
    </w:p>
    <w:p w:rsidR="006A3EA1" w:rsidRDefault="006A3EA1" w:rsidP="00D4602D">
      <w:pPr>
        <w:contextualSpacing/>
        <w:jc w:val="both"/>
      </w:pPr>
    </w:p>
    <w:p w:rsidR="006A3EA1" w:rsidRDefault="006A3EA1" w:rsidP="00D4602D">
      <w:pPr>
        <w:contextualSpacing/>
        <w:jc w:val="both"/>
      </w:pPr>
    </w:p>
    <w:p w:rsidR="006A3EA1" w:rsidRDefault="006A3EA1" w:rsidP="00D4602D">
      <w:pPr>
        <w:contextualSpacing/>
        <w:jc w:val="both"/>
      </w:pP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lastRenderedPageBreak/>
        <w:t>Приложение 2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к постановлению Правительства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Удмуртской Республики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от «__»_________2024 года №____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«УТВЕРЖДЕНЫ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постановлением Правительства</w:t>
      </w:r>
    </w:p>
    <w:p w:rsidR="006A3EA1" w:rsidRPr="0009406D" w:rsidRDefault="006A3EA1" w:rsidP="006A3EA1">
      <w:pPr>
        <w:ind w:firstLine="4962"/>
        <w:jc w:val="center"/>
        <w:rPr>
          <w:rFonts w:eastAsia="Times New Roman"/>
          <w:b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Удмуртской Республики</w:t>
      </w:r>
    </w:p>
    <w:p w:rsidR="006A3EA1" w:rsidRPr="0009406D" w:rsidRDefault="006A3EA1" w:rsidP="006A3EA1">
      <w:pPr>
        <w:ind w:firstLine="5103"/>
        <w:jc w:val="center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от 21 декабря 2023 года № 858</w:t>
      </w:r>
    </w:p>
    <w:p w:rsidR="006A3EA1" w:rsidRPr="0009406D" w:rsidRDefault="006A3EA1" w:rsidP="006A3EA1">
      <w:pPr>
        <w:ind w:firstLine="5103"/>
        <w:jc w:val="center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ind w:firstLine="5103"/>
        <w:jc w:val="center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/>
          <w:bCs/>
          <w:color w:val="000000" w:themeColor="text1"/>
        </w:rPr>
      </w:pPr>
      <w:r w:rsidRPr="0009406D">
        <w:rPr>
          <w:rFonts w:eastAsia="Times New Roman"/>
          <w:b/>
          <w:bCs/>
          <w:color w:val="000000" w:themeColor="text1"/>
        </w:rPr>
        <w:t xml:space="preserve">ПРАВИЛА </w:t>
      </w:r>
    </w:p>
    <w:p w:rsidR="006A3EA1" w:rsidRPr="0009406D" w:rsidRDefault="006A3EA1" w:rsidP="006A3EA1">
      <w:pPr>
        <w:jc w:val="center"/>
        <w:rPr>
          <w:rFonts w:eastAsia="Times New Roman"/>
          <w:b/>
          <w:bCs/>
          <w:color w:val="000000" w:themeColor="text1"/>
        </w:rPr>
      </w:pPr>
      <w:r w:rsidRPr="0009406D">
        <w:rPr>
          <w:rFonts w:eastAsia="Times New Roman"/>
          <w:b/>
          <w:bCs/>
          <w:color w:val="000000" w:themeColor="text1"/>
        </w:rPr>
        <w:t xml:space="preserve">предоставления субсидий из бюджета Удмуртской Республики управляющим компаниям индустриальных (промышленных) парков или промышленных технопарков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</w:t>
      </w:r>
    </w:p>
    <w:p w:rsidR="006A3EA1" w:rsidRPr="0009406D" w:rsidRDefault="006A3EA1" w:rsidP="006A3EA1">
      <w:pPr>
        <w:jc w:val="center"/>
        <w:rPr>
          <w:rFonts w:eastAsia="Times New Roman"/>
          <w:b/>
          <w:bCs/>
          <w:color w:val="000000" w:themeColor="text1"/>
        </w:rPr>
      </w:pPr>
      <w:r w:rsidRPr="0009406D">
        <w:rPr>
          <w:rFonts w:eastAsia="Times New Roman"/>
          <w:b/>
          <w:bCs/>
          <w:color w:val="000000" w:themeColor="text1"/>
        </w:rPr>
        <w:t>в Удмуртской Республике</w:t>
      </w:r>
    </w:p>
    <w:p w:rsidR="006A3EA1" w:rsidRPr="0009406D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I. Общие положения</w:t>
      </w:r>
    </w:p>
    <w:p w:rsidR="006A3EA1" w:rsidRPr="0009406D" w:rsidRDefault="006A3EA1" w:rsidP="006A3EA1">
      <w:pPr>
        <w:jc w:val="both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1. Настоящие Правила разработаны в соответствии с Правилами предоставления субсидий из федерального бюджета бюджетам субъектов Российской Федерации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или технопарков в сфере высоких технологий, установленными в приложении № 17 к государственной программе Российской Федерации «Развитие промышленности и повышение её конкурентоспособности», утверждённой </w:t>
      </w:r>
      <w:r w:rsidRPr="0009406D">
        <w:rPr>
          <w:rFonts w:eastAsia="Times New Roman"/>
          <w:color w:val="000000" w:themeColor="text1"/>
        </w:rPr>
        <w:t xml:space="preserve">постановлением Правительства </w:t>
      </w:r>
      <w:r w:rsidRPr="0009406D">
        <w:rPr>
          <w:rFonts w:eastAsia="Times New Roman"/>
          <w:bCs/>
          <w:color w:val="000000" w:themeColor="text1"/>
        </w:rPr>
        <w:t>Российской Федерации</w:t>
      </w:r>
      <w:r w:rsidRPr="0009406D">
        <w:rPr>
          <w:rFonts w:eastAsia="Times New Roman"/>
          <w:color w:val="000000" w:themeColor="text1"/>
        </w:rPr>
        <w:t xml:space="preserve">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Правила предоставления субсидий из федерального бюджета), и Правилами отбора субъектов Российской Федерации,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технологий, особых экономических зон, утверждёнными постановлением Правительства Российской Федерации от 30 октября 2014 года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</w:t>
      </w:r>
      <w:r w:rsidRPr="0009406D">
        <w:rPr>
          <w:rFonts w:eastAsia="Times New Roman"/>
          <w:color w:val="000000" w:themeColor="text1"/>
        </w:rPr>
        <w:lastRenderedPageBreak/>
        <w:t xml:space="preserve">инфраструктуры индустриальных парков, промышленных технопарков и технопарков в сфере высоких технологий, особых экономических зон» (далее – Правила отбора субъектов Российской Федерации), и </w:t>
      </w:r>
      <w:r w:rsidRPr="0009406D">
        <w:rPr>
          <w:rFonts w:eastAsia="Times New Roman"/>
          <w:bCs/>
          <w:color w:val="000000" w:themeColor="text1"/>
        </w:rPr>
        <w:t>устанавливают условия и порядок предоставления субсидий из бюджета Удмуртской Республики управляющим компаниям индустриальных (промышленных) парков или промышленных технопарков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(далее также – парки), расположенных на территории Удмуртской Республике (далее – субсидии).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2. В настоящих Правилах, если не установлено иное, понятия, «инженерная инфраструктура», «инфраструктура для развития кадрового потенциала», «таможенные пошлины», «технологическая инфраструктура», «транспортная инфраструктура», «управляющая компания», «федеральные налоги», «энергетическая инфраструктура» используются в значениях, определённых Правилами предоставления субсидий из федерального бюджета и Правилами отбора субъектов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Понятия «индустриальный (промышленный) парк», «промышленный технопарк» используются в значениях, установленных Федеральным законом от 31 декабря 2014 года № 488-ФЗ «О промышленной политике в Российской Федерации».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Под «проектом» понимается комплекс реализуемых управляющей компанией парка мероприятий по созданию, модернизации и (или) реконструкции объектов инфраструктуры парка, необходимых для обеспечения его функционирования, на основании которого Удмуртской Республикой составлен проект, прошедший отбор и включённый в утверждённый Правительством Российской Федерации в соответствии с пунктом 22 Правил отбора субъектов Российской Федерации перечень проектов по созданию, модернизации и (или) реконструкции объектов инфраструктуры индустриальных парков, промышленных технопарков и технопарков в сфере высоких технологий (далее – Перечень проектов).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Под «проектом реиндустриализации» понимается реализуемый управляющей компанией парка инвестиционный проект по созданию парка путём модернизации, реконструкции и (или) создания объектов инфраструктуры на базе действующих промышленных предприятий, на основании которого Удмуртской Республикой составлен проект, прошедший отбор в соответствии с Правилами отбора субъектов Российской Федерации и включённый в Перечень проектов.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Понятия «резидент индустриального (промышленного) парка» и «резидент промышленного технопарка» используются в значении, установленном в пункте 2 Правил отбора субъектов Российской Федерации для понятия «резидент парка».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Под «объектами инфраструктуры» понимаются объекты, указанные в пункте 3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3. Субсидии предоставляются управляющим компаниям индустриальных (промышленных) парков, управляющим компаниям промышленных </w:t>
      </w:r>
      <w:r w:rsidRPr="0009406D">
        <w:rPr>
          <w:rFonts w:eastAsia="Times New Roman"/>
          <w:bCs/>
          <w:color w:val="000000" w:themeColor="text1"/>
        </w:rPr>
        <w:lastRenderedPageBreak/>
        <w:t xml:space="preserve">технопарков (далее – заявители) в рамках реализации мероприятий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 в целях возмещения понесённых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реконструкцию: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для управляющих компаний индустриальных (промышленных) парков – объектов, относящихся к инженерной, энергетической, транспортной инфраструктуре, а также зданий, строений и сооружений, предназначенных для резидентов индустриального (промышленного) парка (в том числе инфраструктуры для развития кадрового потенциала), входящих в соответствии с законодательством Российской Федерации о промышленной политике в состав промышленной инфраструктуры, а также на разработку технических условий и технологическое присоединение объектов инфраструктуры индустриального (промышленного)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для управляющих компаний промышленных технопарков – объектов, относящихся к инженерной, энергетической, транспортной, технологической инфраструктуре, а также зданий строений и сооружений, предназначенных для резидентов промышленного технопарка (в том числе инфраструктуры для развития кадрового потенциала), входящих в соответствии с законодательством Российской Федерации о промышленной политике в состав промышленной инфраструктуры, а также на разработку технических условий и технологическое присоединение объектов инфраструктуры индустриального (промышленного) парка.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4. Исполнительным органом Удмуртской Республики,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субсидий, является Министерство промышленности и торговли Удмуртской Республики (далее – Министерство).</w:t>
      </w:r>
    </w:p>
    <w:p w:rsidR="006A3EA1" w:rsidRPr="0009406D" w:rsidRDefault="006A3EA1" w:rsidP="006A3EA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Финансирование расходов, связанных с предоставлением субсидий, осуществляется в пределах бюджетных ассигнований, предусмотренных на соответствующий финансовый год и плановый период законом Удмуртской Республики о бюджете Удмуртской Республики на указанные цели, лимитов бюджетных обязательств, доведенных Министерству в установленном порядке на указанные цели, в том числе средств федерального бюджета, поступивших в бюджет Удмуртской Республики в установленном порядке.</w:t>
      </w:r>
    </w:p>
    <w:p w:rsidR="006A3EA1" w:rsidRPr="0009406D" w:rsidRDefault="006A3EA1" w:rsidP="006A3EA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5. К категориям получателей субсидий относятся:</w:t>
      </w:r>
    </w:p>
    <w:p w:rsidR="006A3EA1" w:rsidRPr="0009406D" w:rsidRDefault="006A3EA1" w:rsidP="006A3EA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 xml:space="preserve">1) управляющие компании индустриальных (промышленных) парков; </w:t>
      </w:r>
    </w:p>
    <w:p w:rsidR="006A3EA1" w:rsidRPr="0009406D" w:rsidRDefault="006A3EA1" w:rsidP="006A3EA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2) управляющие компании промышленных технопарков.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lastRenderedPageBreak/>
        <w:t>6. Критериями отбора получателей субсидий являются: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>1) включение индустриального (промышленного) парка, промышленного технопарка (далее – парки), деятельность по управлению которым осуществляет управляющая компания, в Перечень проектов;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color w:val="000000" w:themeColor="text1"/>
        </w:rPr>
        <w:t xml:space="preserve">2) для управляющей компании индустриального (промышленного) парка – </w:t>
      </w:r>
      <w:r w:rsidRPr="0009406D">
        <w:rPr>
          <w:rFonts w:eastAsia="Times New Roman"/>
          <w:bCs/>
          <w:color w:val="000000" w:themeColor="text1"/>
        </w:rPr>
        <w:t xml:space="preserve">соответствие индустриального (промышленного) парка и управляющей компании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утвержденным постановлением </w:t>
      </w:r>
      <w:r w:rsidRPr="0009406D">
        <w:rPr>
          <w:rFonts w:eastAsia="Times New Roman"/>
          <w:color w:val="000000" w:themeColor="text1"/>
        </w:rPr>
        <w:t>Правительства Российской Федерации от 4 августа 2015 года № 794 «Об индустриальных (промышленных) парках и управляющих компаниях индустриальных (промышленных) парков»</w:t>
      </w:r>
      <w:r w:rsidRPr="0009406D">
        <w:rPr>
          <w:rFonts w:eastAsia="Times New Roman"/>
          <w:bCs/>
          <w:color w:val="000000" w:themeColor="text1"/>
        </w:rPr>
        <w:t>, и включение сведений об индустриальном (промышленном) парке и управляющей компании индустриального (промышленного) парка в реестр индустриальных (промышленных) парков и управляющих компаний индустриальных (промышленных) парков;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3) для управляющей компании промышленного технопарка –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промышленности, утвержденным постановлением </w:t>
      </w:r>
      <w:r w:rsidRPr="0009406D">
        <w:rPr>
          <w:rFonts w:eastAsia="Times New Roman"/>
          <w:color w:val="000000" w:themeColor="text1"/>
        </w:rPr>
        <w:t>Правительства Российской Федерации от 27 декабря 2019 года № 1863 «О промышленных технопарках и управляющих компаниях промышленных технопарков»</w:t>
      </w:r>
      <w:r w:rsidRPr="0009406D">
        <w:rPr>
          <w:rFonts w:eastAsia="Times New Roman"/>
          <w:bCs/>
          <w:color w:val="000000" w:themeColor="text1"/>
        </w:rPr>
        <w:t>, и включение сведений о промышленном технопарке и управляющей компании промышленного технопарка в реестр промышленных технопарков и управляющих компаний промышленных технопарков.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7. Получатели субсидий определяются по результатам отбора, проводимого Министерством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способом запроса предложений исходя из соответствия участника отбора категориям и критериям отбора, установленным соответственно пунктами 5 и 6 настоящих Правил, и очередности поступления заявок для участия в отборе (далее – заявки).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8.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в установленном Министерством финансов Российской Федерации порядке.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II. Порядок проведения отбора получателей субсидий</w:t>
      </w: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для предоставления субсидий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9. При наличии лимитов бюджетных обязательств, доведённых Министерству на предоставление субсидий, Министерство не менее чем за 5 календарных дней до дня начала приема заявок размещает на едином портале, </w:t>
      </w:r>
      <w:r w:rsidRPr="0009406D">
        <w:rPr>
          <w:rFonts w:eastAsia="Times New Roman"/>
          <w:bCs/>
          <w:color w:val="000000" w:themeColor="text1"/>
        </w:rPr>
        <w:lastRenderedPageBreak/>
        <w:t>а также, при необходимости, на своем официальном сайте в информационно-телекоммуникационной сети «Интернет» (далее – официальный сайт) объявление о проведении отбора,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промышленности и торговли Удмуртской Республики (далее – министр) или уполномоченного им лица, с указанием: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способа отбора;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 сроков проведения отбора;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даты начала подачи и окончания приема заявок, которая не может быть ранее 10-го календарного дня, следующего за днем размещения объявления о проведении отбора;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 полного наименования, места нахождения, почтового адреса Министерства для направления заявок, адреса электронной почты и контактного телефона Министерства;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5) результатов предоставления субсидий в соответствии с пунктом 38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 доменного имени и (или) указателей системы «Электронный бюджет» в информационно-телекоммуникационной сети «Интернет»;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7) требований к заявителям в соответствии с пунктом 12 настоящих Правил и перечн</w:t>
      </w:r>
      <w:r>
        <w:rPr>
          <w:rFonts w:eastAsia="Times New Roman"/>
          <w:bCs/>
          <w:color w:val="000000" w:themeColor="text1"/>
        </w:rPr>
        <w:t>ю</w:t>
      </w:r>
      <w:r w:rsidRPr="0009406D">
        <w:rPr>
          <w:rFonts w:eastAsia="Times New Roman"/>
          <w:bCs/>
          <w:color w:val="000000" w:themeColor="text1"/>
        </w:rPr>
        <w:t xml:space="preserve"> документов, представляемых ими для подтверждения соответствия указанным требованиям;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8) категорий и критериев отбора в соответствии с пунктами 5 и 6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9) порядка подачи заявок и требований, предъявляемых к форме и содержанию заявок, подаваемых заявителями, в соответствии с пунктом 13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10) порядка отзыва заявок, порядка возврата заявок, определяющего в том числе основания для возврата заявок, порядка внесения изменений в заявки в соответствии с пунктом 17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11) правил рассмотрения заявок в соответствии с пунктом 20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12) порядка возврата заявок на доработку в соответствии с пунктом 18 настоящих Правил, включая: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срок, не позднее которого заявитель должен направить скорректированную заявку, после возврата его заявки на доработку;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основания для возврата заявки на доработку;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13) порядка отклонения заявок, а также информацию об основаниях их отклонения в соответствии с пунктом 20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14) объема распределяемой субсидии в рамках отбора, порядка расчета размера субсидии, правил распределения субсидии по результатам отбора, а также максимального размера предоставляемых субсидий в соответствии с подпунктом 11 пункта 20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15) порядка предоставления заявителям разъяснений положений объявления о проведении отбора, даты начала и окончания срока такого предоставления в соответствии с пунктом 19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16) срока, в течение которого заявители – победители отбора должны подписать соглашение о предоставлении субсидий в соответствии с пунктом 24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17) условий признания заявителей – победителей отбора уклонившимися от заключения соглашения о предоставлении субсидий в соответствии с пунктом 24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18) сроков размещения протокола подведения итогов отбора (документа об итогах проведения отбора) на Едином портале, а также, при необходимости, на официальном сайте Министерства,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обеспечению исполнения федерального бюджета»).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10. Взаимодействие Министерства с заявителями при проведении отбора осуществляется с использованием документов в электронной форме в системе «Электронный бюджет».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11. В случае принятия Министерством решения об отмене проведения отбора Министерство не позднее чем за 1 рабочий день до даты окончания срока подачи заявок размещает на едином портале объявление об отмене отбора,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отмены отбора заявителей.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Заявители, подавшие заявки, информируются об отмене проведения отбора в системе «Электронный бюджет».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После окончания срока отмены проведения отбора и до заключения соглашений о предоставлении субсидии с заявителями –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12. Заявитель по состоянию на дату подачи заявки, на дату заключения соглашения о предоставлении субсидии и на дату принятия Министерством </w:t>
      </w:r>
      <w:r w:rsidRPr="0009406D">
        <w:rPr>
          <w:rFonts w:eastAsia="Times New Roman"/>
          <w:bCs/>
          <w:color w:val="000000" w:themeColor="text1"/>
        </w:rPr>
        <w:lastRenderedPageBreak/>
        <w:t>решения о предоставлении субсидии должен соответствовать следующим требованиям: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заявитель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5)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 у заявителя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7) у заявителя отсутствует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8)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его не введена процедура банкротства, </w:t>
      </w:r>
      <w:r w:rsidRPr="0009406D">
        <w:rPr>
          <w:rFonts w:eastAsia="Times New Roman"/>
          <w:bCs/>
          <w:color w:val="000000" w:themeColor="text1"/>
        </w:rPr>
        <w:lastRenderedPageBreak/>
        <w:t>деятельность заявителя не приостановлена в порядке, предусмотренном законодательством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9) в реестре дисквалифицированных лиц отсутствуют сведения о дисквалифицированных руководителе, члене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13. Требования, предъявляемые к форме и содержанию заявок, подаваемых заявителями: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для участия в отборе заявитель представляет заявку в соответствии с требованиями и в сроки, указанными в объявлении о проведении отбора. Датой представления заявки считается день ее подписания усиленной квалифицированной подписью руководителем заявителя или уполномоченного им лица с присвоением заявке регистрационного номера в системе «Электронный бюджет»;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заявка формируется заявителем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(документов на бумажном носителе, преобразованных в электронную форму путем сканирования) следующих документов: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учредительных документов заявителя (при наличии изменений в учредительных документах – с приложением документов, которыми вносились соответствующие изменения), а также документов, подтверждающих полномочия руководителя заявителя;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сводного сметного расчета стоимости создания, модернизации и (или) реконструкции объектов инфраструктуры парка;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в) документа об утверждении проектной документации на создание, модернизацию и (или) реконструкцию объектов инфраструктуры парка;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г) положительных заключений государственной экспертизы проектной документации и результатов инженерных изысканий строительства, реконструкции и капитального ремонта объектов капитального строительства при создании, модернизации и (или) реконструкции объектов инфраструктуры парка в случае, если указанная проектная документация подлежит государственной экспертизе в соответствии с законодательством Российской Федерации о градостроительной деятельности, или обоснование отсутствия обязанности проведения государственной экспертизы указанной проектной документации в соответствии с законодательством Российской Федерации о градостроительной деятельности;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д) положительных заключений государственной экспертизы проектной документации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 при создании, модернизации и (или) реконструкции объектов инфраструктуры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е) предварительных и (или) заключенных соглашений с резидентами парка, предусматривающих их место нахождения на территории парка и </w:t>
      </w:r>
      <w:r w:rsidRPr="0009406D">
        <w:rPr>
          <w:rFonts w:eastAsia="Times New Roman"/>
          <w:bCs/>
          <w:color w:val="000000" w:themeColor="text1"/>
        </w:rPr>
        <w:lastRenderedPageBreak/>
        <w:t>отсутствие у них за пределами территории парка обособленных подразделений, в том числе филиалов;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ж) документов, подтверждающих фактически понесенные затраты заявителя на создание, модернизацию и (или) реконструкцию объектов инфраструктуры парка: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договоры на выполнение работ (оказание услуг) с приложениями;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акты сдачи-приемки выполненных работ (оказанных услуг);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документы об оплате указанных работ (услуг) с отметкой об исполнении платежа;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справка заявителя о мерах государственной поддержки, предоставленных (предоставляемых) Российской Федерацией, и (или) Удмуртской Республикой, и (или) муниципальным образованием в целях финансового обеспечения (возмещения) затрат на создание, модернизацию и (или) реконструкцию объектов инфраструктуры;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и) расчёт размера субсидии на текущий финансовый год (с поквартальной разбивкой) и расчёт размеров субсидий, прогнозируемых за весь планируемый период их получения в рамках реализации проекта, выполненные в соответствии с пунктами 32 – 35 настоящих Правил;</w:t>
      </w:r>
    </w:p>
    <w:p w:rsidR="006A3EA1" w:rsidRPr="0009406D" w:rsidRDefault="006A3EA1" w:rsidP="006A3EA1">
      <w:pPr>
        <w:ind w:firstLine="708"/>
        <w:jc w:val="both"/>
        <w:rPr>
          <w:color w:val="000000" w:themeColor="text1"/>
        </w:rPr>
      </w:pPr>
      <w:r w:rsidRPr="0009406D">
        <w:rPr>
          <w:color w:val="000000" w:themeColor="text1"/>
        </w:rPr>
        <w:t>к) пояснительная записка с описанием затрат, понесенных заявителем на создание, модернизацию и (или) реконструкцию объектов инфраструктуры парка, со ссылками на прилагаемые к заявке документы, указанные в абзацах восьмом – одиннадцатом настоящего подпункта, и обоснованием расчета размера субсидий на текущий финансовый год, представляемого в соответствии с абзацем тринадцатым настоящего подпункта;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л) дополнительная информация о проекте по рекомендованным формам, утверждённым Министерством;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м) согласие на публикацию (размещение) в информационно-телекоммуникационной сети «Интернет» информации о заявителе, о подаваемой заявке, а также иной информации о заявителе, связанной с проводимым отбором и результатами предоставления субсидии (подаётся посредством заполнения соответствующих экранных форм веб-интерфейса системы «Электронный бюджет»);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в случае, если на дату подачи заявки у заявителя отсутствуют затраты на создание, реконструкцию и (или) модернизацию объектов инфраструктуры парка, он вправе не представлять документы, указанные в абзацах четвертом – шестом, восьмом – одиннадцатом, тринадцатом подпункта 2 настоящего пункта;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ответственность за полноту и достоверность информации и документов, содержащихся в заявке, а также своевременность их представления несёт заявитель в соответствии с законодательством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5)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</w:t>
      </w:r>
      <w:r w:rsidRPr="0009406D">
        <w:rPr>
          <w:rFonts w:eastAsia="Times New Roman"/>
          <w:bCs/>
          <w:color w:val="000000" w:themeColor="text1"/>
        </w:rPr>
        <w:lastRenderedPageBreak/>
        <w:t>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Подлинники документов, электронные копии которых включены в заявку, должны быть составлены на русском языке и не должны содержать подчисток, исправлений, помарок, неустановленных сокращений. В случае направления электронных копий документов, составленных на иностранном языке, одновременно с ними направляется их электронная копия документа, содержащего перевод указанных документов на русский язык, верность которого засвидетельствована нотариально.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14. Вместе с заявкой з</w:t>
      </w:r>
      <w:r w:rsidRPr="0009406D">
        <w:rPr>
          <w:bCs/>
          <w:color w:val="000000" w:themeColor="text1"/>
        </w:rPr>
        <w:t>аявитель вправе по собственной инициативе дополнительно представить: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2) выписку из Единого государственного реестра юридических лиц.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09406D">
        <w:rPr>
          <w:bCs/>
          <w:color w:val="000000" w:themeColor="text1"/>
        </w:rPr>
        <w:t xml:space="preserve">15. Министерство самостоятельно в порядке межведомственного взаимодействия, запрашивает </w:t>
      </w:r>
      <w:r w:rsidRPr="0009406D">
        <w:rPr>
          <w:rFonts w:eastAsia="Times New Roman"/>
          <w:bCs/>
          <w:color w:val="000000" w:themeColor="text1"/>
        </w:rPr>
        <w:t>у соответствующих государственных органов документы (сведения)</w:t>
      </w:r>
      <w:r>
        <w:rPr>
          <w:rFonts w:eastAsia="Times New Roman"/>
          <w:bCs/>
          <w:color w:val="000000" w:themeColor="text1"/>
        </w:rPr>
        <w:t xml:space="preserve">, </w:t>
      </w:r>
      <w:r w:rsidRPr="0009406D">
        <w:rPr>
          <w:bCs/>
          <w:color w:val="000000" w:themeColor="text1"/>
        </w:rPr>
        <w:t>указанные в пункте 14 настоящих Правил</w:t>
      </w:r>
      <w:r w:rsidRPr="0009406D">
        <w:rPr>
          <w:rFonts w:eastAsia="Times New Roman"/>
          <w:bCs/>
          <w:color w:val="000000" w:themeColor="text1"/>
        </w:rPr>
        <w:t>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16. Министерству запрещается требовать от заявителей представления документов и информации в целях подтверждения соответствия требованиям, установленным пунктом 12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заявитель готов представить указанные документы и информацию по собственной инициативе.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17. Внесение изменений в заявку или отзыв заявки осуществляется заявителем не позднее одного рабочего дня до дня завершения подачи заявок, указанного в объявлении о проведении отбора, с формированием соответствующих документов в порядке, аналогичном порядку формирования заявки, указанному в подпункте 2 пункта 13 настоящих Правил.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 xml:space="preserve">18. Возврат заявок на доработку осуществляется по основаниям, указанным в объявлении о проведении отбора, и применяется до окончания срока подачи заявок, указанного в объявлении о проведении отбора, в равной мере ко всем заявителям, при рассмотрении заявок которых выявлены основания для их возврата на доработку. 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Решение Министерства о возврате заявок на доработку доводится до заявителей с использованием системы «Электронный бюджет» в течение одного рабочего дня со дня принятия указанного решения с указанием для каждой заявки оснований её возврата и положений заявки, нуждающихся в доработке.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Направление в Министерство доработанных заявок осуществляется в порядке и в сроки, указанные в подпункте 2 пункта 13, пункте 18 настоящих Правил.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lastRenderedPageBreak/>
        <w:t xml:space="preserve">19. Любой заявитель со дня размещения объявления о проведении отбора на едином портале и не позднее третьего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 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 xml:space="preserve">Министерство в ответ на запрос, указанный в абзаце первом настоящего пункта, направляет разъяснение положений объявления о проведении отбора промышленным предприятиям в срок не позднее одного рабочего дня до дня завершения подачи заявок, путем формирования в системе «Электронный бюджет» соответствующего разъяснения.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bCs/>
          <w:color w:val="000000" w:themeColor="text1"/>
        </w:rPr>
        <w:t>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20. Правила рассмотрения заявок: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1) не позднее одного рабочего дня, следующего за днем окончания срока подачи заявок, установленного в объявлении о проведении отбора, Министерству в системе «Электронный бюджет» открывается доступ к поданным заявкам для их рассмотрения.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Министерством в объявлении о проведении отбора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заявкам;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2) Министерство не позднее одного рабочего дня, следующего за днем вскрытия заявок, установленного в объявлении о проведении отбора проектов, подписывает протокол вскрытия заявок, содержащий следующую информацию о поступивших для участия в отборе заявках: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а) регистрационный номер заявки;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б) дата и время поступления заявки;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полное наименование заявителя;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адрес заявителя;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запрашиваемый заявителем размер субсидии;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Министерство в течение 20 рабочих дней с даты размещения на едином портале протокола вскрытия заявок осуществляет их рассмотрение.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заявки, установленные подпунктом 7 настоящего пункта.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представленных заявителями информации и документов, поданных в составе заявки;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 xml:space="preserve">5) проверка заявителей на соответствие требованиям, установленным соответственно пунктом 12 настоящих Правил,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В случае отсутствия технической возможности автоматической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управляющей компанией парка по состоянию на дату формирования соответствующих запросов для подтверждения соответствия требованиям, указанным в пункте 12 настоящих Правил; 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6) Министерство вправе запросить у заявителей разъяснения в отношении предоставленных ими в составе заявок документов и информации с использованием системы «Электронный бюджет», который при необходимости направляется в равной мере всем заявителям.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Заявитель в течение 2 рабочих дней со дня, следующего за днем размещения Министерством соответствующего запроса, обязан предоставить разъяснения в отношении указанных документов и информации, а также сформировать и представить в систему «Электронный бюджет» информацию и документы, запрашиваемые Министерством в соответствии с абзацем первым настоящего подпункта.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В случае если заявитель в ответ на запрос Министерства не представил запрашиваемые документы и информацию в срок, установленный абзацем вторым настоящего подпункта, информация об этом включается в протокол рассмотрения заявок, предусмотренный подпунктом 9 настоящего пункта;</w:t>
      </w:r>
    </w:p>
    <w:p w:rsidR="006A3EA1" w:rsidRPr="0009406D" w:rsidRDefault="006A3EA1" w:rsidP="006A3EA1">
      <w:pPr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406D">
        <w:rPr>
          <w:bCs/>
          <w:color w:val="000000" w:themeColor="text1"/>
        </w:rPr>
        <w:t>7) Министерство отклоняет заявку в случаях: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заявителя категории и (или) критериями, и (или) требованиям, установленным соответственно </w:t>
      </w:r>
      <w:hyperlink w:anchor="P55">
        <w:r w:rsidRPr="000940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6">
        <w:r w:rsidRPr="000940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, 12 настоящих Правил;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непредставления (представления не в полном объеме) документов, предусмотренных подпунктом 2 пункта 13 настоящих Правил и указанных в объявлении о проведении отбора; 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в) несоответствия представленной заявки требованиям, установленным пунктом 13 настоящего Положения и указанным в объявлении о проведении отбора;</w:t>
      </w:r>
    </w:p>
    <w:p w:rsidR="006A3EA1" w:rsidRDefault="006A3EA1" w:rsidP="006A3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г) недостоверности информации, содержащейся в документах, представленной заявителем в целях подтверждения соответствия категории, критериям отбора, а также требованиям, установленным соответственно пунктами 5, 6, 12 настоящих Правил;</w:t>
      </w:r>
    </w:p>
    <w:p w:rsidR="006A3EA1" w:rsidRPr="00A54632" w:rsidRDefault="006A3EA1" w:rsidP="006A3EA1">
      <w:pPr>
        <w:ind w:firstLine="708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д) </w:t>
      </w:r>
      <w:r w:rsidRPr="00A54632">
        <w:rPr>
          <w:rFonts w:eastAsiaTheme="minorEastAsia"/>
          <w:color w:val="000000" w:themeColor="text1"/>
        </w:rPr>
        <w:t xml:space="preserve">подачу </w:t>
      </w:r>
      <w:r>
        <w:rPr>
          <w:rFonts w:eastAsiaTheme="minorEastAsia"/>
          <w:color w:val="000000" w:themeColor="text1"/>
        </w:rPr>
        <w:t>заявителем</w:t>
      </w:r>
      <w:r w:rsidRPr="00A54632">
        <w:rPr>
          <w:rFonts w:eastAsiaTheme="minorEastAsia"/>
          <w:color w:val="000000" w:themeColor="text1"/>
        </w:rPr>
        <w:t xml:space="preserve"> заявки после даты и (или) времени, определенных для подачи заявок;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8) отбор признается несостоявшимся в следующих случаях: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а) по окончании срока подачи заявок не подано ни одной заявки;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б) по окончании срока подачи заявок подана только одна заявка;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по результатам рассмотрения заявок отклонены все заявки;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9) не позднее одного рабочего дня со дня окончания срока рассмотрения заявок на едином портале автоматически формируется и подписывается усиленной квалифицированной электронной подписью министра (уполномоченного им лица) протокол рассмотрения заявок, включающий информацию о количестве поступивших и рассмотренных заявок, а также информацию по каждому заявителю о признании ее заявки надлежащей или об отклонении его заявки с указанием оснований для отклонения.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Протокол рассмотрения заявок размещается на едином портале не позднее рабочего дня, следующего за днем его подписания;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10) для определения победителей отбора Министерство осуществляет ранжирование поступивших заявок в порядке очерёдности их регистрации в системе «Электронный бюджет»: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первый номер присваивается заявителю, заявка которого была зарегистрирована ранее остальных;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последующие номера присваиваются заявкам по возрастанию;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11) победителями отбора признаются заявители, заявки которых не были отклонены по основаниям, установленным подпунктом 7 настоящего пункта, и которым могут быть предоставлены субсидии в размерах, прогнозируемых за весь планируемый период их предоставления в рамках реализации проекта (далее – прогнозируемый размер субсидий), и в соответствии с очередностью, определённой по результатам ранжирования заявок, до исчерпания лимитов бюджетных обязательств, доведение которых Министерству планируется за весь планируемый период предоставления субсидий (далее – плановый период).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Заявителю, заявке которого по результатам ранжирования присвоен первый порядковый номер, распределяется размер субсидии, равный значению размера, указанному им в заявке, но не более предельного размер</w:t>
      </w:r>
      <w:r>
        <w:rPr>
          <w:rFonts w:eastAsia="Times New Roman"/>
          <w:bCs/>
          <w:color w:val="000000" w:themeColor="text1"/>
        </w:rPr>
        <w:t>а субсидии</w:t>
      </w:r>
      <w:r w:rsidRPr="0009406D">
        <w:rPr>
          <w:rFonts w:eastAsia="Times New Roman"/>
          <w:bCs/>
          <w:color w:val="000000" w:themeColor="text1"/>
        </w:rPr>
        <w:t>, возможного для предоставления за весь плановый период (далее – предельный размер субсидии).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В случае, если прогнозируемый размер всех субсидий, распределяемых в рамках отбора, больше прогнозируемого размера субсидий, указанного в заявке заявителя, которой присвоен первый порядковый номер, оставшийся прогнозируемый размер субсидий распределяется между остальными заявителями. При этом каждому следующему заявителю распределяется прогнозируемый размер субсидий, равный указанному им в заявке, но не более предельного размера субсидий, если указанный в такой заявке предельный размер субсидий меньше нераспределенного остатка субсидий либо равен ему. В случае если размер субсидии, указанный в заявке, больше нераспределенного размера субсидий за плановый период, такому заявителю при его согласии распределяется весь оставшийся нераспределенный размер субсидий в пределах планового периода, но не более предельного размера субсидии, возможного для предоставления в соответствии с пунктом 34 настоящих </w:t>
      </w:r>
      <w:r w:rsidRPr="0009406D">
        <w:rPr>
          <w:rFonts w:eastAsia="Times New Roman"/>
          <w:bCs/>
          <w:color w:val="000000" w:themeColor="text1"/>
        </w:rPr>
        <w:lastRenderedPageBreak/>
        <w:t>Правил, без изменения указанных заявителем в заявке значений результатов предоставления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Настоящий подпункт применяется в рамках одного отбора для определения его победителей и не влияет на расчёт размера субсидий в соответствии с пунктами 33 – 35 настоящих Правил;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12) в целях завершения отбора 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«Электронный бюджет» протокол подведения итогов отбора, включающий информацию о заявителях – победителях отбора с указанием размеров субсидий, предусмотренных им для предоставления.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При указании в протоколе подведения итогов отбора размеров субсидий, предусмотренных для предоставления заявителям, Министерство в случае несоответствия запрашиваемого заявителем размера субсидии размеру, определённому в соответствии с подпунктом 11 настоящего пункта, вправе скорректировать размер субсидии, предусмотренной для предоставления такому заявителю, но не выше размера, указанного им в заявке.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Протокол подведения итогов отбора размещается на едином портале и на официальном сайте не позднее рабочего дня, следующего за днем его подписания.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III. Условия и порядок предоставления субсидий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21. Субсидии предоставляются на следующих условиях: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заявитель согласен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заявителю запрещается отчуждать на основании возмездных сделок объекты инфраструктуры индустриального (промышленного) парка, промышленного технопарка, затраты на создание, модернизацию и (или) реконструкцию которого возмещаются за счёт средств предоставляемой субсидии, начиная с года её предоставления до завершения срока реализации проекта, представленного Удмуртской Республикой на отбор в соответствии с Правилами отбора субъектов Российской Федерации, в рамках реализации которого заявителю предоставляется субсидия;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3) заявитель согласен на проведение в отношении его Министерством ежегодных плановых проверок на предмет соблюдения условия, установленного подпунктом 2 настоящего пункта, в течение всего срока реализации проекта, представленного Удмуртской Республикой на отбор в соответствии с Правилами отбора субъектов Российской Федерации, в рамках которого заявителю предоставляется субсидия, включая безвозмездное предоставление по требованию Министерства заверенных руководителем заявителя копий выписок из Единого государственного реестра недвижимости </w:t>
      </w:r>
      <w:r w:rsidRPr="0009406D">
        <w:rPr>
          <w:rFonts w:eastAsia="Times New Roman"/>
          <w:bCs/>
          <w:color w:val="000000" w:themeColor="text1"/>
        </w:rPr>
        <w:lastRenderedPageBreak/>
        <w:t>на объекты инфраструктуры индустриального (промышленного) парка, промышленного технопарка, затраты на создание, модернизацию и (или) реконструкцию которого возмещаются за счёт предоставляемой заявителю субсидии;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отсутствует отрицательное значение разницы между суммой федеральных налогов и таможенных пошлин,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федеральный бюджет со дня начала реализации проекта, представленного Удмуртской Республикой на отбор в соответствии с Правилами отбора субъектов Российской Федерации, в рамках которого заявителю предоставляется субсидия, рассчитанной в соответствии с пунктом 9 Правил отбора субъектов Российской Федерации, и размером средств федерального бюджета, предоставленных Удмуртской Республике на реализацию указанного проекта со дня начала его реализации, по состоянию на первый год предоставления субсидии – в случае если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осуществлялась заявителем с привлечением средств федерального бюджета.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22. В течение 10 рабочих дней со дня размещения на едином портале в соответствии с подпунктом 12 пункта </w:t>
      </w:r>
      <w:r>
        <w:rPr>
          <w:rFonts w:eastAsia="Times New Roman"/>
          <w:bCs/>
          <w:color w:val="000000" w:themeColor="text1"/>
        </w:rPr>
        <w:t>20</w:t>
      </w:r>
      <w:r w:rsidRPr="0009406D">
        <w:rPr>
          <w:rFonts w:eastAsia="Times New Roman"/>
          <w:bCs/>
          <w:color w:val="000000" w:themeColor="text1"/>
        </w:rPr>
        <w:t xml:space="preserve"> настоящих Правил протокола подведения итогов отбора Министерство проверяет каждого заявителя на соответствие требованиям, установленным пунктом 12 настоящих Правил.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Указанная проверка осуществляется Министерством автоматически в системе «Электронный бюджет», а при отсутствии технической возможности – исходя из проставленных заявителем отметок о соответствии требованиям, установленным пунктом 12 настоящих Правил, в экранных формах веб-интерфейса системы «Электронный бюджет», а также сведений, имеющихся в распоряжении Министерства, в том числе полученных в порядке межведомственного взаимодействия.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23. По результатам проверки, проведённой в соответствии с пунктом 22 настоящих Правил Министерство в порядке, установленном пунктом 24 настоящих Правил, заключает с каждым заявителем, который признан победителем отбора (в случае признания отбора несостоявшимся в соответствии с подпунктом 8 пункта 20 настоящих Правил – с заявителем, подавшим единственную заявку, при условии если они не была отклонена по основаниям, установленным подпунктом 7 пункта 20 настоящих Правил) и соответствует требованиям, установленным пунктом 12 настоящих Правил, соглашение о предоставлении субсидии, заключает в системе «Электронный бюджет» соглашение о предоставлении субсидии в соответствии с типовой формой, установленной Министерство</w:t>
      </w:r>
      <w:r>
        <w:rPr>
          <w:rFonts w:eastAsia="Times New Roman"/>
          <w:bCs/>
          <w:color w:val="000000" w:themeColor="text1"/>
        </w:rPr>
        <w:t>м финансов Российской Федерации</w:t>
      </w:r>
      <w:r w:rsidRPr="0009406D">
        <w:rPr>
          <w:rFonts w:eastAsia="Times New Roman"/>
          <w:bCs/>
          <w:color w:val="000000" w:themeColor="text1"/>
        </w:rPr>
        <w:t>, в которое включаются в том числе: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требования о: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а)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ранее </w:t>
      </w:r>
      <w:r w:rsidRPr="0009406D">
        <w:rPr>
          <w:rFonts w:eastAsia="Times New Roman"/>
          <w:bCs/>
          <w:color w:val="000000" w:themeColor="text1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в соответствии с пунктом 29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внесении в соглашение о предоставлении субсидии изменений путем заключения дополнительного соглашения к нему – в случае реорганизации заявителя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расторжении соглашения о предоставлении субсидии с формированием уведомления о его расторжении в одностороннем порядке и акта об исполнении обязательств по соглашению о предоставлении субсидии с отражением информации о неисполненных заявителем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 – в случае реорганизации заявителя в форме разделения, выделения, а также при его ликвидации;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паспорт проекта заявителя, включающий в том числе результаты предоставления субсидий;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прогноз размера субсидий на каждый год реализации проекта (с поквартальной разбивкой первого финансового года предоставления субсидии) с приложением справки-расчета размера субсидий, планируемых к получению в рамках реализации проекта, рассчитанного в соответствии с пунктами 32 – 35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перечень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и мероприятий по созданию, модернизации и (или) реконструкции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а также объектов транспортной инфраструктуры на территории, прилегающей к границам территории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с указанием размеров затрат управляющей компании парка на их реализацию;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5) обязательство заявителя по исполнению прогноза размера федеральных налогов и таможенных пошлин, уплаченных в федеральный бюджет;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 обязательство заявителя о мониторинге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на соответствие требованиям, установленными Правилами отбора субъектов Российской Федерации для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24. С целью заключения соглашения о предоставлении субсидии Министерство направляет его проект заявителю в системе «Электронный бюджет» не позднее 5 рабочих дней со дня окончания срока, указанного в пункте 22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Заявитель обязан подписать в системе «Электронный бюджет» проект соглашения о предоставлении субсидии в течение 5 рабочих дней со дня его </w:t>
      </w:r>
      <w:r w:rsidRPr="0009406D">
        <w:rPr>
          <w:rFonts w:eastAsia="Times New Roman"/>
          <w:bCs/>
          <w:color w:val="000000" w:themeColor="text1"/>
        </w:rPr>
        <w:lastRenderedPageBreak/>
        <w:t>поступления. В случае неподписания проекта соглашения о предоставлении субсиди</w:t>
      </w:r>
      <w:r>
        <w:rPr>
          <w:rFonts w:eastAsia="Times New Roman"/>
          <w:bCs/>
          <w:color w:val="000000" w:themeColor="text1"/>
        </w:rPr>
        <w:t>и</w:t>
      </w:r>
      <w:r w:rsidRPr="0009406D">
        <w:rPr>
          <w:rFonts w:eastAsia="Times New Roman"/>
          <w:bCs/>
          <w:color w:val="000000" w:themeColor="text1"/>
        </w:rPr>
        <w:t xml:space="preserve"> в указанный сро</w:t>
      </w:r>
      <w:r>
        <w:rPr>
          <w:rFonts w:eastAsia="Times New Roman"/>
          <w:bCs/>
          <w:color w:val="000000" w:themeColor="text1"/>
        </w:rPr>
        <w:t>к заявитель считается уклонившим</w:t>
      </w:r>
      <w:r w:rsidRPr="0009406D">
        <w:rPr>
          <w:rFonts w:eastAsia="Times New Roman"/>
          <w:bCs/>
          <w:color w:val="000000" w:themeColor="text1"/>
        </w:rPr>
        <w:t>ся от заключения соглашения о предоставлении субсидии и субсидия ему не предоставляется.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25. В случае необходимости внесения изменений в заключенное соглашение о предоставлении субсидии Министерство и заявитель заключают в системе «Электронный бюджет» дополнительное соглашение к указанному соглашению в соответствии с типовой формой, установленной Министерством финансов Российской Федерации, в порядке и сроки, указанные в пункте 24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26. В случае уменьшения Министерству ранее доведенных лимитов бюджетных обязательств в текущем финансовом году, приводящего к невозможности предоставления субсидии заявителю в размере, определенном в соглашении о её предоставлении, Министерство в течение 3 рабочих дней со дня возникновения указанных обстоятельств направляет заявителю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Заявитель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заявителя или отсутствия его ответа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заявителя о расторжении соглашения о предоставлении субсидии.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 случае согласия заявителя на предоставление субсидии в размере, который может быть предоставлен в пределах лимитов бюджетных обязательств, Министерство и заявитель в течение 3 рабочих дней со дня получения Министерством указанного согласия в порядке, установленном пунктом 24 настоящих Правил, заключают в системе «Электронный бюджет»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 В случае незаключения дополнительного соглашения к соглашению о предоставлении субсидии в указанный срок заявитель считается не 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заявителя о расторжении соглашения.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27. В пределах одного финансового года субсидии предоставляются заявителю ежеквартально в соответствии с графиком предоставления субсидии, установленным соглашением о предоставлении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28. Для получения субсидии заявитель представляет в Министерство в сроки, установленные в соглашении о предоставлении субсидии (но не позднее 15 декабря соответствующего финансового года) следующие документы (далее – документы на предоставление субсидии):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1) прогноз размера субсидий, планируемых к получению в текущем финансовом году (с поквартальной разбивкой) с приложением справки-расчета размера указанных субсидий, выполненного в соответствии с пунктами 32 – 35 настоящих Правил, со ссылк</w:t>
      </w:r>
      <w:r>
        <w:rPr>
          <w:rFonts w:eastAsia="Times New Roman"/>
          <w:bCs/>
          <w:color w:val="000000" w:themeColor="text1"/>
        </w:rPr>
        <w:t>ами на документы, подтверждающими</w:t>
      </w:r>
      <w:r w:rsidRPr="0009406D">
        <w:rPr>
          <w:rFonts w:eastAsia="Times New Roman"/>
          <w:bCs/>
          <w:color w:val="000000" w:themeColor="text1"/>
        </w:rPr>
        <w:t xml:space="preserve"> понесенные фактически затраты на создание, модернизацию и (или) реконструкцию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представленные вместе с заявкой в соответствии с абзацами восьмым – одиннадцатым подпункта 2 пункта 13 настоящих Правил либо подпунктом 3 настоящего пункта, и описанием таких затрат;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заверенные руководителем заявителя копии документов, указанных в подпункте 2 пункта 13 настоящих Правил – в случае внесения в них изменений после заключения соглашения о предоставлении субсидии;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документы, указанные в абзацах четвертом – шестом, восьмом – одиннадцатом, тринадцатом подпункта 2 пункта 13 настоящих Правил – в случае, если заявителем в соответствии с подпунктом 3 пункта 13 настоящих Правил вместе с заявкой не были представлены указанные документы, а также в случае, если после заключения соглашения о предоставлении субсидии у заявителя возникли новые затраты в рамках реализуемого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заверенные руководителем заявителя копии согласий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на передачу федеральным органам исполнительной власти и исполнительным органам Удмуртской Республики сведений о фактически уплаченных ими федеральных налогах и таможенных пошлинах в федеральный бюджет при ведении хозяйственной деятельности (при наличии указанных согласий).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29. В течение 15 рабочих дней со дня поступления документов на предоставление субсидии Министерство осуществляет их рассмотрение и принимает решение о предоставлении субсидии или об отказе в предоставлении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 процессе рассмотрения указанных документов Министерство проверяет заявителя на соответствие требованиям, установленным пунктом 12 настоящих Правил, в порядке, установленном пунктом 22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Решение Министерства о предоставлении субсидии или об отказе в предоставлении субсидии оформляется приказом.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30. Основаниями для отказа в предоставлении субсидии являются: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непризнание заявителя победителем отбора (за исключением случая признания отбора несостоявшимся в соответствии с подпунктом 8 пункта 20 настоящих Правил и заключения соглашения о предоставлении субсидии с заявителем, подавшим единственную заявку);</w:t>
      </w:r>
    </w:p>
    <w:p w:rsidR="006A3EA1" w:rsidRPr="0009406D" w:rsidRDefault="006A3EA1" w:rsidP="006A3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заявителя категории и (или) критериями, и (или) требованиям, установленным соответственно </w:t>
      </w:r>
      <w:hyperlink w:anchor="P55">
        <w:r w:rsidRPr="000940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6">
        <w:r w:rsidRPr="000940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, 12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</w:t>
      </w:r>
      <w:r w:rsidRPr="0009406D">
        <w:rPr>
          <w:rFonts w:eastAsia="Times New Roman"/>
          <w:bCs/>
          <w:color w:val="000000" w:themeColor="text1"/>
        </w:rPr>
        <w:t>) несоответствие представленных заявителем документов требованиям, определенным пунктом 28 настоящих Правил, или непредставление (представление не в полном объеме) указанных документов;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lastRenderedPageBreak/>
        <w:t>4</w:t>
      </w:r>
      <w:r w:rsidRPr="0009406D">
        <w:rPr>
          <w:rFonts w:eastAsia="Times New Roman"/>
          <w:bCs/>
          <w:color w:val="000000" w:themeColor="text1"/>
        </w:rPr>
        <w:t>) установление факта недостоверности предоставленной заявителем информации;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5</w:t>
      </w:r>
      <w:r w:rsidRPr="0009406D">
        <w:rPr>
          <w:rFonts w:eastAsia="Times New Roman"/>
          <w:bCs/>
          <w:color w:val="000000" w:themeColor="text1"/>
        </w:rPr>
        <w:t>) несоблюдение условий предоставления субсидий, установленных пунктом 21 настоящих Правил;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6</w:t>
      </w:r>
      <w:r w:rsidRPr="0009406D">
        <w:rPr>
          <w:rFonts w:eastAsia="Times New Roman"/>
          <w:bCs/>
          <w:color w:val="000000" w:themeColor="text1"/>
        </w:rPr>
        <w:t>) отсутствие лимитов бюджетных обязательств, доведенных до Министерства на соответствующий финансовый год на предоставление субсидий.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31. В случае принятия решения об отказе в предоставлении субсидии Министерство не позднее 5 рабочих дней со дня его принятия направляет заявителю соответствующее уведомление с указанием причин, послуживших основаниями для его принятия.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32. Субсидии предоставляются заявителю в размере фактически понесённых им затрат, указанных в пункте 3 настоящих Правил, учитываемых согласно пункту 33 настоящих Правил, но не более предельного размера, определяемого в соответствии с пунктами 34, 35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33. При определении размера фактически понесённых заявителем затрат для расчёта размера субсидии Министерством не учитываются затраты, понесённые на создание, модернизацию и (или) реконструкцию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если: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создание, модернизация и (или) реконструкция указанных объектов осуществлялись за счет средств субъектов естественных монополий или если указанные объекты включены в инвестиционные программы субъектов естественных монополий (за исключением случаев, если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за счет средств заявителя, уплаченных в качестве платы за технологическое присоединение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создание инфраструктуры парка предназначено для обеспечения деятельности юридических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топливом, производства подакцизных товаров, за исключением автомобилей легковых и мотоциклов, а также юридических лиц и индивидуальных предпринимателей, осуществляющих производство нефтепродуктов из тяжелых нефтяных остатков (нефтяных фракций, начало температуры кипения которых выше 500 °C) на установках замедленного коксования, гидрокрекинга тяжелых нефтяных остатков и гидроконверсии тяжелых нефтяных остатков;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Удмуртской Республикой в соответствии с обязательствами, принятыми на основании концессионного соглашения, соглашения о государственно-частном партнерстве, а также соглашения о муниципально-частном партнерстве;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4)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или осуществлены Удмуртской Республикой в качестве исполнения условия по уровню софинансирования из бюджета Удмуртской Республики;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5)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или осуществлены за счет средств федерального бюджета на основании иных нормативных правовых актов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на территориях земельных участков, расположенных в границах особой экономической зоны, при условии, что создание, модернизация и (или) реконструкция объектов инфраструктуры в границах таких земельных участков осуществлены в рамках реализации Федерального закона «Об особых экономических зонах в Российской Федерации» с привлечением средств федерального бюджета, либо создание, модернизация и (или) реконструкция объектов инфраструктуры особой экономической зоны осуществляется на территориях земельных участков, расположенных в границах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при условии, что создание, модернизация и (или)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Требование, установленное настоящим подпунктом, не применяется если отсутствует пересечение территории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с границами территории особой экономической зоны, а также когда резидентами парка и особой экономической зоны являются разные юридические лица;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7) создание, модернизация и (или) реконструкция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осуществляются или осуществлены резидентом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или резидентом особой экономической зоны;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8) заявителем в составе документов на предоставление субсидии не представлены документы, подтверждающие соответствующие затраты;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9) указанные затраты понесены за пределами: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срока реализации проекта, представленного Удмуртской Республикой на отбор в соответствии с Правилами отбора субъектов Российской Федерации, в рамках которого заявителю предоставляется субсидия;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б) 5 лет (начиная с года, указанного Удмуртской Республикой в соглашении о предоставлении субсидии из федерального бюджета в соответствии с пунктом 47 Правил отбора субъектов Российской Федерации) в течение срока реализации проекта, представленного Удмуртской Республикой </w:t>
      </w:r>
      <w:r w:rsidRPr="0009406D">
        <w:rPr>
          <w:rFonts w:eastAsia="Times New Roman"/>
          <w:bCs/>
          <w:color w:val="000000" w:themeColor="text1"/>
        </w:rPr>
        <w:lastRenderedPageBreak/>
        <w:t>на отбор в соответствии с Правилами отбора субъектов Российской Федерации, в рамках которого заявителю предоставляется субсидия, или 10 лет до года подачи Удмуртской Республикой первой заявки на получение субсидии из федерального бюджета, с использованием средств которой заявителю предоставляется субсидия;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в) 10 или 15 лет (начиная с года, указанного Удмуртской Республикой в соглашении о предоставлении субсидии из федерального бюджета в соответствии с пунктом 47 Правил отбора субъектов Российской Федерации) в период реализации проекта – если Удмуртская Республика воспользовалась правом, предусмотренным пунктом 43 Правил отбора субъектов Российской Федерации, и выполнила условия, установленные подпунктом «б» пункта 48 указанных Правил.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34. Субсидия предоставляется заявителю в размере, не превышающем: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предельного размера возмещаемых затрат (L</w:t>
      </w:r>
      <w:r w:rsidRPr="0009406D">
        <w:rPr>
          <w:rFonts w:eastAsia="Times New Roman"/>
          <w:bCs/>
          <w:color w:val="000000" w:themeColor="text1"/>
          <w:vertAlign w:val="superscript"/>
        </w:rPr>
        <w:t>i</w:t>
      </w:r>
      <w:r w:rsidRPr="0009406D">
        <w:rPr>
          <w:rFonts w:eastAsia="Times New Roman"/>
          <w:bCs/>
          <w:color w:val="000000" w:themeColor="text1"/>
        </w:rPr>
        <w:t>), определяемого по формуле: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ascii="Cambria Math" w:eastAsia="Times New Roman" w:hAnsi="Cambria Math"/>
          <w:bCs/>
          <w:color w:val="000000" w:themeColor="text1"/>
        </w:rPr>
      </w:pP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L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= (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C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– 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R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) 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x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φ</w:t>
      </w:r>
      <w:r w:rsidRPr="0009406D">
        <w:rPr>
          <w:rFonts w:ascii="Cambria Math" w:eastAsia="Times New Roman" w:hAnsi="Cambria Math"/>
          <w:bCs/>
          <w:color w:val="000000" w:themeColor="text1"/>
          <w:vertAlign w:val="sub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  <w:vertAlign w:val="subscript"/>
        </w:rPr>
        <w:t>-1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x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0,99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 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где: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i – период, в котором понесены затраты, подлежащие возмещению за счёт предоставляемой субсидии;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C – размер понесенных заявителем затрат на создание, модернизацию и (или) реконструкцию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R – размер субсидий, предоставленных заявителю с I квартала года начала реализации проекта, представленного Удмуртской Республикой на отбор в соответствии с Правилами отбора субъектов Российской Федерации, в рамках которого заявителю предоставляется субсидия до периода i-1 (включая государственную поддержку);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φ</w:t>
      </w:r>
      <w:r w:rsidRPr="0009406D">
        <w:rPr>
          <w:rFonts w:eastAsia="Times New Roman"/>
          <w:bCs/>
          <w:color w:val="000000" w:themeColor="text1"/>
          <w:vertAlign w:val="subscript"/>
          <w:lang w:val="en-US"/>
        </w:rPr>
        <w:t>i</w:t>
      </w:r>
      <w:r w:rsidRPr="0009406D">
        <w:rPr>
          <w:rFonts w:eastAsia="Times New Roman"/>
          <w:bCs/>
          <w:color w:val="000000" w:themeColor="text1"/>
          <w:vertAlign w:val="subscript"/>
        </w:rPr>
        <w:t>-1</w:t>
      </w:r>
      <w:r w:rsidRPr="0009406D">
        <w:rPr>
          <w:rFonts w:eastAsia="Times New Roman"/>
          <w:bCs/>
          <w:color w:val="000000" w:themeColor="text1"/>
        </w:rPr>
        <w:t xml:space="preserve"> - коэффициент использования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периоде i-1, который рассчитывается в соответствии с пунктом 55 Правил отбора субъектов Российской Федерации и принимается равным 1 (в случае подачи Удмуртской Республикой заявки на отбор в соответствии с Правилами отбора субъектов Российской Федерации не позднее чем через 7 лет после дня начала реализации проекта, в рамках которого заявителю предоставляется субсидия,);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сумму федеральных налогов и таможенных пошлин,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</w:t>
      </w: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-ом периоде (за исключением случая, указанного в подпункте 3 настоящего пункта), определяемого по формуле: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ascii="Cambria Math" w:eastAsia="Times New Roman" w:hAnsi="Cambria Math"/>
          <w:bCs/>
          <w:color w:val="000000" w:themeColor="text1"/>
        </w:rPr>
      </w:pP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R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</w:rPr>
        <w:t xml:space="preserve"> = 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min</w:t>
      </w:r>
      <w:r w:rsidRPr="0009406D">
        <w:rPr>
          <w:rFonts w:ascii="Cambria Math" w:eastAsia="Times New Roman" w:hAnsi="Cambria Math"/>
          <w:bCs/>
          <w:color w:val="000000" w:themeColor="text1"/>
        </w:rPr>
        <w:t>{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L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</w:rPr>
        <w:t>,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N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</w:rPr>
        <w:t>},</w:t>
      </w:r>
    </w:p>
    <w:p w:rsidR="006A3EA1" w:rsidRPr="0009406D" w:rsidRDefault="006A3EA1" w:rsidP="006A3EA1">
      <w:pPr>
        <w:ind w:firstLine="708"/>
        <w:jc w:val="center"/>
        <w:rPr>
          <w:rFonts w:ascii="Cambria Math" w:eastAsia="Times New Roman" w:hAnsi="Cambria Math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где: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lastRenderedPageBreak/>
        <w:t>Ri</w:t>
      </w:r>
      <w:r w:rsidRPr="0009406D">
        <w:rPr>
          <w:rFonts w:eastAsia="Times New Roman"/>
          <w:bCs/>
          <w:color w:val="000000" w:themeColor="text1"/>
        </w:rPr>
        <w:t xml:space="preserve"> – предельный размер субсидий в </w:t>
      </w: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-ом периоде;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Li</w:t>
      </w:r>
      <w:r w:rsidRPr="0009406D">
        <w:rPr>
          <w:rFonts w:eastAsia="Times New Roman"/>
          <w:bCs/>
          <w:color w:val="000000" w:themeColor="text1"/>
        </w:rPr>
        <w:t xml:space="preserve"> – предельный размер возмещаемых затрат, определяемых в соответствии с подпунктом 1 настоящего пункта;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Ni</w:t>
      </w:r>
      <w:r w:rsidRPr="0009406D">
        <w:rPr>
          <w:rFonts w:eastAsia="Times New Roman"/>
          <w:bCs/>
          <w:color w:val="000000" w:themeColor="text1"/>
        </w:rPr>
        <w:t xml:space="preserve"> – сумма федеральных налогов и таможенных пошлин,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</w:t>
      </w: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-ом периоде;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размера прироста федеральных налогов и таможенных пошлин, уплаченных резидентами парка, затраты на создание, модернизацию и (или) реконструкцию которого возмещаются заявителю в рамках реализации проекта реиндустриализации, представленного Удмуртской Республикой на отбор в соответствии с Правилами отбора субъектов Российской Федерации, определяемого по формуле:</w:t>
      </w:r>
    </w:p>
    <w:p w:rsidR="006A3EA1" w:rsidRPr="0009406D" w:rsidRDefault="006A3EA1" w:rsidP="006A3EA1">
      <w:pPr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ab/>
      </w:r>
    </w:p>
    <w:p w:rsidR="006A3EA1" w:rsidRPr="0009406D" w:rsidRDefault="006A3EA1" w:rsidP="006A3EA1">
      <w:pPr>
        <w:jc w:val="center"/>
        <w:rPr>
          <w:rFonts w:ascii="Cambria Math" w:eastAsia="Times New Roman" w:hAnsi="Cambria Math"/>
          <w:bCs/>
          <w:color w:val="000000" w:themeColor="text1"/>
          <w:lang w:val="en-US"/>
        </w:rPr>
      </w:pP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R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 xml:space="preserve"> = min{L</w:t>
      </w:r>
      <w:r w:rsidRPr="0009406D">
        <w:rPr>
          <w:rFonts w:ascii="Cambria Math" w:eastAsia="Times New Roman" w:hAnsi="Cambria Math"/>
          <w:bCs/>
          <w:color w:val="000000" w:themeColor="text1"/>
          <w:vertAlign w:val="superscript"/>
          <w:lang w:val="en-US"/>
        </w:rPr>
        <w:t>i</w:t>
      </w:r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,</w:t>
      </w:r>
      <m:oMath>
        <m:r>
          <m:rPr>
            <m:sty m:val="p"/>
          </m:rPr>
          <w:rPr>
            <w:rFonts w:ascii="Cambria Math" w:eastAsia="Times New Roman" w:hAnsi="Cambria Math"/>
            <w:color w:val="000000" w:themeColor="text1"/>
            <w:lang w:val="en-US"/>
          </w:rPr>
          <m:t>∆</m:t>
        </m:r>
        <m:sSubSup>
          <m:sSubSupPr>
            <m:ctrlPr>
              <w:rPr>
                <w:rFonts w:ascii="Cambria Math" w:eastAsia="Times New Roman" w:hAnsi="Cambria Math"/>
                <w:bCs/>
                <w:color w:val="000000" w:themeColor="text1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p>
        </m:sSubSup>
      </m:oMath>
      <w:r w:rsidRPr="0009406D">
        <w:rPr>
          <w:rFonts w:ascii="Cambria Math" w:eastAsia="Times New Roman" w:hAnsi="Cambria Math"/>
          <w:bCs/>
          <w:color w:val="000000" w:themeColor="text1"/>
          <w:lang w:val="en-US"/>
        </w:rPr>
        <w:t>},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  <w:lang w:val="en-US"/>
        </w:rPr>
      </w:pPr>
      <w:r w:rsidRPr="0009406D">
        <w:rPr>
          <w:rFonts w:eastAsia="Times New Roman"/>
          <w:bCs/>
          <w:color w:val="000000" w:themeColor="text1"/>
          <w:lang w:val="en-US"/>
        </w:rPr>
        <w:t> 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где: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Ri</w:t>
      </w:r>
      <w:r w:rsidRPr="0009406D">
        <w:rPr>
          <w:rFonts w:eastAsia="Times New Roman"/>
          <w:bCs/>
          <w:color w:val="000000" w:themeColor="text1"/>
        </w:rPr>
        <w:t xml:space="preserve"> – размер субсидии, предоставляемой в </w:t>
      </w: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-ом периоде;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Li</w:t>
      </w:r>
      <w:r w:rsidRPr="0009406D">
        <w:rPr>
          <w:rFonts w:eastAsia="Times New Roman"/>
          <w:bCs/>
          <w:color w:val="000000" w:themeColor="text1"/>
        </w:rPr>
        <w:t xml:space="preserve"> – предельный размер возмещаемых затрат, определяемых в соответствии с подпунктом 1 настоящего пункта;</w:t>
      </w:r>
    </w:p>
    <w:p w:rsidR="006A3EA1" w:rsidRPr="0009406D" w:rsidRDefault="006A3EA1" w:rsidP="006A3EA1">
      <w:pPr>
        <w:ind w:firstLine="709"/>
        <w:jc w:val="both"/>
        <w:rPr>
          <w:rFonts w:eastAsia="Times New Roman"/>
          <w:bCs/>
          <w:color w:val="000000" w:themeColor="text1"/>
        </w:rPr>
      </w:pPr>
      <m:oMath>
        <m:sSubSup>
          <m:sSubSupPr>
            <m:ctrlPr>
              <w:rPr>
                <w:rFonts w:ascii="Cambria Math" w:eastAsia="Times New Roman" w:hAnsi="Cambria Math"/>
                <w:bCs/>
                <w:color w:val="000000" w:themeColor="text1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p>
        </m:sSubSup>
        <m:r>
          <w:rPr>
            <w:rFonts w:ascii="Cambria Math" w:eastAsia="Times New Roman" w:hAnsi="Cambria Math"/>
            <w:color w:val="000000" w:themeColor="text1"/>
          </w:rPr>
          <m:t xml:space="preserve"> </m:t>
        </m:r>
      </m:oMath>
      <w:r w:rsidRPr="0009406D">
        <w:rPr>
          <w:rFonts w:eastAsia="Times New Roman"/>
          <w:bCs/>
          <w:color w:val="000000" w:themeColor="text1"/>
        </w:rPr>
        <w:t>– размер прироста федеральных налогов и таможенных пошлин, уплаченных в федерльный бюджет, определяемый по формуле:</w:t>
      </w:r>
    </w:p>
    <w:p w:rsidR="006A3EA1" w:rsidRPr="0009406D" w:rsidRDefault="006A3EA1" w:rsidP="006A3EA1">
      <w:pPr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both"/>
        <w:rPr>
          <w:rFonts w:eastAsia="Times New Roman"/>
          <w:bCs/>
          <w:i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bCs/>
                  <w:color w:val="000000" w:themeColor="text1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∆N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R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/>
                  <w:bCs/>
                  <w:color w:val="000000" w:themeColor="text1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R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lang w:val="en-US"/>
            </w:rPr>
            <m:t xml:space="preserve">- </m:t>
          </m:r>
          <m:sSubSup>
            <m:sSubSupPr>
              <m:ctrlPr>
                <w:rPr>
                  <w:rFonts w:ascii="Cambria Math" w:eastAsia="Times New Roman" w:hAnsi="Cambria Math"/>
                  <w:bCs/>
                  <w:color w:val="000000" w:themeColor="text1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R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lang w:val="en-US"/>
                </w:rPr>
                <m:t>o</m:t>
              </m:r>
            </m:sup>
          </m:sSubSup>
          <m:r>
            <w:rPr>
              <w:rFonts w:ascii="Cambria Math" w:eastAsia="Times New Roman" w:hAnsi="Cambria Math"/>
              <w:color w:val="000000" w:themeColor="text1"/>
            </w:rPr>
            <m:t>,</m:t>
          </m:r>
        </m:oMath>
      </m:oMathPara>
    </w:p>
    <w:p w:rsidR="006A3EA1" w:rsidRPr="0009406D" w:rsidRDefault="006A3EA1" w:rsidP="006A3EA1">
      <w:pPr>
        <w:ind w:firstLine="708"/>
        <w:jc w:val="center"/>
        <w:rPr>
          <w:rFonts w:ascii="Cambria Math" w:eastAsia="Times New Roman" w:hAnsi="Cambria Math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где: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 xml:space="preserve"> – календарный год;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m:oMath>
        <m:sSubSup>
          <m:sSubSupPr>
            <m:ctrlPr>
              <w:rPr>
                <w:rFonts w:ascii="Cambria Math" w:eastAsia="Times New Roman" w:hAnsi="Cambria Math"/>
                <w:bCs/>
                <w:color w:val="000000" w:themeColor="text1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p>
        </m:sSubSup>
      </m:oMath>
      <w:r w:rsidRPr="0009406D">
        <w:rPr>
          <w:rFonts w:eastAsia="Times New Roman"/>
          <w:bCs/>
          <w:color w:val="000000" w:themeColor="text1"/>
        </w:rPr>
        <w:t xml:space="preserve"> – сумма федеральных налогов и таможенных пошлин,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</w:t>
      </w: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-ом году;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m:oMath>
        <m:sSubSup>
          <m:sSubSupPr>
            <m:ctrlPr>
              <w:rPr>
                <w:rFonts w:ascii="Cambria Math" w:eastAsia="Times New Roman" w:hAnsi="Cambria Math"/>
                <w:bCs/>
                <w:color w:val="000000" w:themeColor="text1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o</m:t>
            </m:r>
          </m:sup>
        </m:sSubSup>
      </m:oMath>
      <w:r w:rsidRPr="0009406D">
        <w:rPr>
          <w:rFonts w:eastAsia="Times New Roman"/>
          <w:bCs/>
          <w:color w:val="000000" w:themeColor="text1"/>
        </w:rPr>
        <w:t xml:space="preserve"> – размер федеральных налогов и таможенных пошлин, уплаченных юридическими лицами и (или) индивидуальными предпринимателями, зарегистрированными на территории, на которой реализуется проект реиндустриализации, в федеральный бюджет за год, предшествующий году включения проекта реиндустриализации в перечень, утверждаемый Правительством Российской Федерации в соответствии с Правилами отбора субъектов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75 процентов фактически понесённых заявителем затрат на создание, модернизацию и (или) реконструкцию объектов инфраструктуры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частной формы собственности, в отношении которых получено положительное заключение государственной экспертизы достоверности сметной стоимости;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5) в случае возмещения затрат на создание, модернизацию и (или) реконструкцию объектов инфраструктуры индустриальных (промышленных) парков – 30 млн. рублей на 1 гектар общей площади территории </w:t>
      </w:r>
      <w:r w:rsidRPr="0009406D">
        <w:rPr>
          <w:rFonts w:eastAsia="Times New Roman"/>
          <w:bCs/>
          <w:color w:val="000000" w:themeColor="text1"/>
        </w:rPr>
        <w:lastRenderedPageBreak/>
        <w:t>индустриального (промышленного) парка или 90 тыс. рублей на 1 кв. метр общей площади создаваемых, модернизируемых и (или) реконструируемых объектов капитального строительства индустриального (промышленного) парка;</w:t>
      </w:r>
    </w:p>
    <w:p w:rsidR="006A3EA1" w:rsidRPr="0009406D" w:rsidRDefault="006A3EA1" w:rsidP="006A3EA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 </w:t>
      </w:r>
      <w:r w:rsidRPr="0009406D">
        <w:rPr>
          <w:rFonts w:eastAsia="Times New Roman"/>
          <w:color w:val="000000" w:themeColor="text1"/>
        </w:rPr>
        <w:t xml:space="preserve">в случае </w:t>
      </w:r>
      <w:r w:rsidRPr="0009406D">
        <w:rPr>
          <w:rFonts w:eastAsia="Times New Roman"/>
          <w:bCs/>
          <w:color w:val="000000" w:themeColor="text1"/>
        </w:rPr>
        <w:t>возмещения затрат на</w:t>
      </w:r>
      <w:r w:rsidRPr="0009406D">
        <w:rPr>
          <w:rFonts w:eastAsia="Times New Roman"/>
          <w:color w:val="000000" w:themeColor="text1"/>
        </w:rPr>
        <w:t xml:space="preserve"> создание, модернизацию и (или) реконструкцию объектов инфраструктуры промышленных технопарков – 120 тыс. рублей на 1 кв. метр общей площади создаваемых, модернизируемых и (или) реконструируемых объектов недвижимого имущества промышленных технопарков;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7) в случае возмещения затрат на создание, модернизацию и (или) реконструкцию объектов инфраструктуры индустриальных (промышленных) парков в рамках проектов реиндустриализации – 100 млн. рублей на 1 гектар общей площади территории индустриального (промышленного) парка или 120 тыс. рублей на 1 кв. метр общей площади создаваемых, модернизируемых и (или) реконструируемых объектов капитального строительства индустриального (промышленного)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8) в случае возмещения затрат на создание, модернизацию и (или) реконструкцию объектов инфраструктуры промышленных технопарков в рамках проектов реиндустриализации – 150 тыс. рублей на 1 кв. метр общей площади объектов недвижимого имущества, создание, модернизация и (или) реконструкция которых осуществляются в рамках проекта реиндустриализации;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9) лимиты бюджетных обязательств, доведённых Министерству в соответствующем финансовом году на предоставление субсидий;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10) в случае, если заявителю была предоставлена субсидия в рамках настоящих Правил в предыдущем финансовом году, то I квартале текущего года заявителю возмещаются затраты на создание, модернизацию и (или) реконструкцию объектов инфраструктуры парков, которые подлежали возмещению в отчетном году (за вычетом затрат, в отношении которых предоставлялась субсидия из бюджета Удмуртской Республики в отчетном году).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35. При расчете размера субсидий не допускается повторный учет федеральных налогов и таможенных пошлин, учтенных ранее при расчете субсидий, предоставленных заявителю в соответствии с настоящими Правилами, и (или) предоставленных заявителю и (или) резидентам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в соответствии с иными нормативными правовыми актами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36. Для определения суммы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федеральных налогов Министерство представляет в Управление Федеральной налоговой службы по Удмуртской Республике до 10-го числа месяца, следующего за отчетным кварталом, либо на дату, приходящуюся на первый рабочий день месяца, следующего за отчетным кварталом, перечень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(с указанием полного </w:t>
      </w:r>
      <w:r w:rsidRPr="0009406D">
        <w:rPr>
          <w:rFonts w:eastAsia="Times New Roman"/>
          <w:bCs/>
          <w:color w:val="000000" w:themeColor="text1"/>
        </w:rPr>
        <w:lastRenderedPageBreak/>
        <w:t>наименования резидента парка, идентификационного номера налогоплательщика, кода причины постановки на учет, даты размещения резидента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на территории парка).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37. Для определения суммы уплаченных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федеральных налогов Министерство в порядке межведомственного взаимодействия получает из Управления Федеральной налоговой службы по Удмуртской Республике соответствующую информацию в отношении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соответствующие согласия которых представлены заявителем в соответствии с подпунктом 6 пункта 28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С этой целью Министерство представляет в Управление Федеральной налоговой службы по Удмуртской Республике до 5-го числа месяца, следующего за отчетным кварталом, либо на дату, приходящуюся на первый рабочий дня месяца, следующего за отчетным кварталом, перечень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(с указанием полного наименования резидента парка, идентификационного номера налогоплательщика, кода причины постановки на учет, даты размещения резидента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на территории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технопарка), а также копии согласий резидентов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на передачу федеральным органам исполнительной власти и исполнительным органам Удмуртской Республики сведений о фактически уплаченных ими федеральных налогах в федеральный бюджет при ведении хозяйственной деятельности.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Управление Федеральной налоговой службы по Удмуртской Республике в течение 15 календарных дней после получения от Министерства информации, указанной в абзаце втором настоящего пункта, представляет в Министерство информацию о сумме федеральных налогов, указанных в пункте 8 Правил отбора субъектов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38. Результатами предоставления субсидий являются: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в отношении индустриальных (промышленных) парков, срок предоставления субсидий по которым составляет не более 5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10-й год реализации проекта, составляет не менее 5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б) коэффициент отношения совокупной выручки за 10-й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индустриального (промышленного) парка за счет привлечения средств федерального бюджета и (или) бюджета Удмуртской Республики на конец 10-го года реализации проекта (накопленным итогом, без учета субсидий из федерального бюджета) составляет не менее 8 (за исключением случаев создания, модернизации и (или) реконструкции объектов инфраструктуры </w:t>
      </w:r>
      <w:r w:rsidRPr="0009406D">
        <w:rPr>
          <w:rFonts w:eastAsia="Times New Roman"/>
          <w:bCs/>
          <w:color w:val="000000" w:themeColor="text1"/>
        </w:rPr>
        <w:lastRenderedPageBreak/>
        <w:t>частного индустриального (промышленного) 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10-го года реализации проекта составляет не менее 1000;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индустриального (промышленного) парка на конец 10-го года реализации проекта (накопленным итогом) составляет не менее 5;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индустриального (промышленного) парка за 10-й год реализации проекта, составляет не менее 1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е) прогнозный объем осуществляемых инвестиций заявителя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ж) отношение площади территории индустриального (промышленного) парка, занятой резидентами индустриального (промышленного) парка, к общей площади территории индустриального (промышленного) парка, предназначенной для размещения резидентов индустриального (промышленного) парка, на конец 10-го года реализации проекта составляет не менее 50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инвестиций в основной капитал резидентов индустриального (промышленного) парка (накопленным итогом) на конец 10-го года реализации проекта составляет не менее 20 млн. рублей на гектар территории индустриального (промышленного)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в отношении индустриальных (промышленных) парков, срок предоставления субсидии по которым составляет не более 10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15-й год реализации проекта, составляет не менее 7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коэффициент отношения совокупной выручки за 15-й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индустриального (промышленного) парка за счет привлечения средств федерального бюджета и (или) бюджета Удмуртской Республики на конец 15-го года реализации проекта (накопленным итогом, без учета субсидий из федерального бюджета) составляет не менее 8 (за исключением случаев создания, модернизации и (или) реконструкции объектов инфраструктуры частного индустриального (промышленного) 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15-го года реализации проекта составляет не менее 1500;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индустриального (промышленного) парка на конец 15-го года реализации проекта (накопленным итогом) составляет не менее 7;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индустриального (промышленного) парка, рассчитанная за 15-й год реализации проекта, составляет не менее 1,3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е) прогнозный объем осуществляемых инвестиций заявителя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ж) отношение площади территории индустриального (промышленного) парка, занятой резидентами индустриального (промышленного) парка, к общей площади территории индустриального (промышленного) парка, предназначенной для размещения резидентов индустриального парка, на конец 15-го года реализации проекта составляет не менее 60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инвестиций в основной капитал резидентов индустриального (промышленного) парка (накопленным итогом) на конец 15-го года реализации проекта составляет не менее 40 млн. рублей на гектар территории индустриального (промышленного)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в отношении индустриальных (промышленных) парков, срок предоставления субсидии по которым составляет не более 15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20-й год реализации проекта, составляет не менее 9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коэффициент отношения совокупной выручки за 20-й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индустриального (промышленного) парка за счет привлечения средств федерального бюджета и (или) бюджета Удмуртской Республики и на конец 20-го года реализации проекта (накопленным итогом, без учета субсидий из федерального бюджета) составляет не менее 8 (за исключением случаев создания, модернизации и (или) реконструкции объектов инфраструктуры частного индустриального (промышленного) 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20-го года реализации проекта составляет не менее 2000;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индустриального (промышленного) парка на конец 20-го года реализации проекта (накопленным итогом) составляет не менее 9;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индустриального (промышленного) парка, рассчитанная за 20-й год реализации проекта, составляет не менее 1,6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е) прогнозный объем осуществляемых инвестиций заявителя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ж) отношение площади территории индустриального (промышленного) парка, занятой резидентами индустриального (промышленного) парка, к общей площади территории индустриального (промышленного) парка, предназначенной для размещения резидентов индустриального (промышленного) парка, на конец 20-го года реализации проекта составляет не менее 70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инвестиций в основной капитал резидентов индустриального (промышленного) парка (накопленным итогом) на конец 20-го года реализации проекта составляет не менее 60 млн. рублей на гектар территории индустриального (промышленного)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4) в отношении промышленных технопарков, срок предоставления субсидий по которым составляет не более 5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10-й год реализации проекта, составляет не менее 1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коэффициент отношения совокупной выручки за 10-й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промышленного технопарка за счет привлечения средств федерального бюджета и (или) бюджета Удмуртской Республики на конец 10-го года реализации проекта (накопленным итогом, без учета субсидий из федерального бюджета) составляет не менее 2 (за исключением случаев создания, модернизации и (или) реконструкции объектов инфраструктуры частного технопарка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10-го года реализации проекта составляет не менее 500;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промышленного технопарка на конец 10-го года реализации проекта составляет не менее 5;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промышленного технопарка, рассчитанная за 10-й год реализации проекта, составляет не менее 0,2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е) прогнозный объем осуществляемых инвестиций заявителя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ж) отношение площади зданий, строений промышленного технопарка, занятой резидентами промышленного технопарка, к общей площади зданий, строений промышленного технопарка, предназначенной для размещения резидентов промышленного технопарка, на конец 10-го года реализации проекта составляет не менее 50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выручки резидентов промышленного технопарка (накопленным итогом) на конец 10-го года реализации проекта составляет не менее 30 тыс. рублей на 1 кв. метр общей площади зданий, строений промышленного технопарка;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5) в отношении промышленных технопарков, срок предоставления субсидии по которым составляет не более 10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15-й год реализации проекта, составляет не менее 2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б) коэффициент отношения совокупной выручки за 15-й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промышленного технопарка за счет привлечения средств федерального бюджета и (или) бюджета Удмуртской Республики на конец 15-го года реализации проекта (накопленным итогом, без учета субсидий из федерального бюджета) составляет не менее 2 (за исключением случаев создания, модернизации и (или) реконструкции объектов инфраструктуры </w:t>
      </w:r>
      <w:r w:rsidRPr="0009406D">
        <w:rPr>
          <w:rFonts w:eastAsia="Times New Roman"/>
          <w:bCs/>
          <w:color w:val="000000" w:themeColor="text1"/>
        </w:rPr>
        <w:lastRenderedPageBreak/>
        <w:t>частного технопарка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15-го года реализации проекта составляет не менее 750;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промышленного технопарка на конец 15-го года реализации проекта составляет не менее 7;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промышленного технопарка, рассчитанная за 15-й год реализации проекта, составляет не менее 0,4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е) прогнозный объем осуществляемых инвестиций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ж) отношение площади зданий, строений промышленного технопарка, занятой резидентами промышленного технопарка, к общей площади зданий, строений промышленного технопарка, предназначенной для размещения резидентов промышленного технопарка, на конец 15-го года реализации проекта составляет не менее 60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выручки резидентов промышленного технопарка (накопленным итогом) на конец 15-го года реализации проекта составляет не менее 60 тыс. рублей на 1 кв. метр общей площади зданий, строений промышленного технопарка;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6) в отношении промышленных технопарков, срок предоставления субсидии по которым составляет не более 15 лет: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а) совокупная выручка, рассчитанная за 20-й год реализации проекта, составляет не менее 3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б) коэффициент отношения совокупной выручки за 20-й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промышленного технопарка за счет привлечения средств федерального бюджета и (или) бюджета Удмуртской Республики на конец 20-го года реализации проекта (накопленным итогом, без учета субсидий из федерального бюджета) составляет не менее 2 (за исключением случаев создания, модернизации и (или) реконструкции объектов инфраструктуры частного технопарка без привлечения средств федерального бюджета и (или) бюджета Удмуртской Республики);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в) количество рабочих мест на конец 20-го года реализации проекта составляет не менее 1000;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г) количество резидентов промышленного технопарка на конец 20-го года реализации проекта составляет не менее 9;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д) совокупная добавленная стоимость, получаемая на территории промышленного технопарка, рассчитанная за 20-й год реализации проекта, составляет не менее 0,6 млрд. рублей;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е) прогнозный объем осуществляемых инвестиций заявителя на реализацию проекта;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ж) отношение площади зданий, строений промышленного технопарка, занятой резидентами промышленного технопарка, к общей площади зданий, </w:t>
      </w:r>
      <w:r w:rsidRPr="0009406D">
        <w:rPr>
          <w:rFonts w:eastAsia="Times New Roman"/>
          <w:bCs/>
          <w:color w:val="000000" w:themeColor="text1"/>
        </w:rPr>
        <w:lastRenderedPageBreak/>
        <w:t>строений промышленного технопарка, предназначенной для размещения резидентов промышленного технопарка, на конец 20-го года реализации проекта составляет не менее 70 процентов;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з) удельный объем выручки резидентов промышленного технопарка (накопленным итогом) на конец 20-го года реализации проекта составляет не менее 90 тыс. рублей на 1 кв. метр общей площади зданий, строений промышленного технопарка.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39. Перечисление субсидии осуществляется на расчетный или корреспондентский счет заявителя,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  <w:lang w:val="en-US"/>
        </w:rPr>
        <w:t>I</w:t>
      </w:r>
      <w:r w:rsidRPr="0009406D">
        <w:rPr>
          <w:rFonts w:eastAsia="Times New Roman"/>
          <w:bCs/>
          <w:color w:val="000000" w:themeColor="text1"/>
        </w:rPr>
        <w:t>V. Требования к отчетности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40. Заявитель ежеквартально не позднее 10 календарных дней, следующих за отчетным кварталом, представляет в Министерство посредством системы «Электронный бюджет» отчет о достижении значения результата предоставления субсидии по форме, предусмотренной типовой формой, установленной Министерство</w:t>
      </w:r>
      <w:r>
        <w:rPr>
          <w:rFonts w:eastAsia="Times New Roman"/>
          <w:bCs/>
          <w:color w:val="000000" w:themeColor="text1"/>
        </w:rPr>
        <w:t>м финансов Российской Федерации</w:t>
      </w:r>
      <w:r w:rsidRPr="0009406D">
        <w:rPr>
          <w:rFonts w:eastAsia="Times New Roman"/>
          <w:bCs/>
          <w:color w:val="000000" w:themeColor="text1"/>
        </w:rPr>
        <w:t>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41. Дополнительно к отчёту, указанному в пункте 40 настоящих Правил, заявитель предоставляет следующую отчётность, сроки представления и формы которой устанавливаются Министерством в соглашении о предоставлении субсидии: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отчет о сумме совокупной добавленной стоимости, получаемой на территории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 за отчетный период, рассчитанной согласно методике, утверждённой Министерством финансов Российской Федерации в соответствии с пунктом 7 Правил отбора субъектов Российской Федерации;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отчет о резидентах парка;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3) отчет о прогнозных значениях сумм федеральных налогов и таможенных пошлин (с поквартальной разбивкой), уплачиваемых резидентами индуст</w:t>
      </w:r>
      <w:r>
        <w:rPr>
          <w:rFonts w:eastAsia="Times New Roman"/>
          <w:bCs/>
          <w:color w:val="000000" w:themeColor="text1"/>
        </w:rPr>
        <w:t>риального (промышленного) парка или</w:t>
      </w:r>
      <w:r w:rsidRPr="0009406D">
        <w:rPr>
          <w:rFonts w:eastAsia="Times New Roman"/>
          <w:bCs/>
          <w:color w:val="000000" w:themeColor="text1"/>
        </w:rPr>
        <w:t xml:space="preserve"> промышленного технопарка, до конца текущего финансового года;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4) отчет об исполнении условий предоставления субсидий, включая информацию о динамике достижения результатов предоставления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42. Министерство осуществляет проверку и принятие отчетов, предоставленных заявителем, в течение 10 рабочих дней после их получения. Датой принятия отчета является дата подписания его усиленной квалифицированной электронной подписью министра или уполномоченного им лица в системе «Электронный бюджет».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 xml:space="preserve">43. Заявитель несет ответственность за достоверность представляемых отчетов, указанных в пунктах 40, 41 настоящих Правил. 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lastRenderedPageBreak/>
        <w:t>V. 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6A3EA1" w:rsidRPr="0009406D" w:rsidRDefault="006A3EA1" w:rsidP="006A3EA1">
      <w:pPr>
        <w:ind w:firstLine="708"/>
        <w:jc w:val="center"/>
        <w:rPr>
          <w:rFonts w:eastAsia="Times New Roman"/>
          <w:b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44. Соблюдение заявителем порядка и условий предоставления субсидий, в том числе в части достижения результата их предоставления, подлежит проверке Министерством.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Государственный контрольный комитет Удмуртской Республики, Министерство финансов Удмуртской Республики проводят в отношении заявителя проверки в соответствии со статьями 268.1 и 269.2 Бюджетного кодекса Российской Федерации.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45. В случае нарушения заявителем условий и порядка предоставления субсидий, в качестве меры ответственности применяется возврат средств субсидий в бюджет Удмуртской Республики.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46. Основаниями для возврата предоставленных субсидий в бюджет Удмуртской Республики являются: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нарушение условий предоставления субсидий, установленных пунктом 21 настоящих Правил, выявленное в том числе по фактам проверок, проведенных Министерством, или Министерством финансов Удмуртской Республики, или Государственным контрольным комитетом Удмуртской Республики;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недостижение заявителем значений результатов предоставления субсидии, установленных в соглашении о предоставлении субсидии в соответствии с пунктом 40 настоящих Правил.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47. Возврат субсидий осуществляется в бюджет Удмуртской Республики: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в случае установления фактов, указанных в подпункте 1 пункта 46 настоящих Правил, – в полном объеме;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в случае, предусмотренном подпунктом 2 пункта 46 настоящих Правил, – в объеме, рассчитываемом по формуле: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jc w:val="center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V</w:t>
      </w:r>
      <w:r w:rsidRPr="0009406D">
        <w:rPr>
          <w:rFonts w:eastAsia="Times New Roman"/>
          <w:bCs/>
          <w:color w:val="000000" w:themeColor="text1"/>
          <w:vertAlign w:val="subscript"/>
        </w:rPr>
        <w:t>возврата</w:t>
      </w:r>
      <w:r w:rsidRPr="0009406D">
        <w:rPr>
          <w:rFonts w:eastAsia="Times New Roman"/>
          <w:bCs/>
          <w:color w:val="000000" w:themeColor="text1"/>
        </w:rPr>
        <w:t xml:space="preserve"> = (V</w:t>
      </w:r>
      <w:r w:rsidRPr="0009406D">
        <w:rPr>
          <w:rFonts w:eastAsia="Times New Roman"/>
          <w:bCs/>
          <w:color w:val="000000" w:themeColor="text1"/>
          <w:vertAlign w:val="subscript"/>
        </w:rPr>
        <w:t>субсидии</w:t>
      </w:r>
      <w:r w:rsidRPr="0009406D">
        <w:rPr>
          <w:rFonts w:eastAsia="Times New Roman"/>
          <w:bCs/>
          <w:color w:val="000000" w:themeColor="text1"/>
        </w:rPr>
        <w:t xml:space="preserve"> x k x m / n),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где: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V</w:t>
      </w:r>
      <w:r w:rsidRPr="0009406D">
        <w:rPr>
          <w:rFonts w:eastAsia="Times New Roman"/>
          <w:bCs/>
          <w:color w:val="000000" w:themeColor="text1"/>
          <w:vertAlign w:val="subscript"/>
        </w:rPr>
        <w:t>субсидии</w:t>
      </w:r>
      <w:r w:rsidRPr="0009406D">
        <w:rPr>
          <w:rFonts w:eastAsia="Times New Roman"/>
          <w:bCs/>
          <w:color w:val="000000" w:themeColor="text1"/>
        </w:rPr>
        <w:t xml:space="preserve"> – размер субсидии, предоставленной заявителю;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k – коэффициент возврата субсидий;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m – число, характеризующее количество результатов предоставления субсидий, по которым индекс, отражающий уровень недостижения значений результатов предоставления субсидии, имеет положительное значение;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n – число, определяющее плановое количество результатов предоставления субсидий, значения которых установлены в соглашении о предоставлении субсидии.</w:t>
      </w:r>
    </w:p>
    <w:p w:rsidR="006A3EA1" w:rsidRPr="0009406D" w:rsidRDefault="006A3EA1" w:rsidP="006A3E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09406D">
        <w:rPr>
          <w:rFonts w:eastAsiaTheme="minorHAnsi"/>
          <w:color w:val="000000" w:themeColor="text1"/>
        </w:rPr>
        <w:t>Коэффициент возврата субсидии (k) рассчитывается по формуле:</w:t>
      </w:r>
    </w:p>
    <w:p w:rsidR="006A3EA1" w:rsidRPr="0009406D" w:rsidRDefault="006A3EA1" w:rsidP="006A3EA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000000" w:themeColor="text1"/>
        </w:rPr>
      </w:pPr>
    </w:p>
    <w:p w:rsidR="006A3EA1" w:rsidRPr="0009406D" w:rsidRDefault="006A3EA1" w:rsidP="006A3EA1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</w:rPr>
      </w:pPr>
      <w:r w:rsidRPr="0009406D">
        <w:rPr>
          <w:rFonts w:eastAsiaTheme="minorHAnsi"/>
          <w:noProof/>
          <w:color w:val="000000" w:themeColor="text1"/>
          <w:position w:val="-13"/>
        </w:rPr>
        <w:drawing>
          <wp:inline distT="0" distB="0" distL="0" distR="0" wp14:anchorId="6B705176" wp14:editId="4EF21746">
            <wp:extent cx="1085850" cy="35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06D">
        <w:rPr>
          <w:rFonts w:eastAsiaTheme="minorHAnsi"/>
          <w:color w:val="000000" w:themeColor="text1"/>
        </w:rPr>
        <w:t>,</w:t>
      </w:r>
    </w:p>
    <w:p w:rsidR="006A3EA1" w:rsidRPr="0009406D" w:rsidRDefault="006A3EA1" w:rsidP="006A3EA1">
      <w:pPr>
        <w:pStyle w:val="aff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A3EA1" w:rsidRPr="0009406D" w:rsidRDefault="006A3EA1" w:rsidP="006A3EA1">
      <w:pPr>
        <w:pStyle w:val="af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где:</w:t>
      </w:r>
    </w:p>
    <w:p w:rsidR="006A3EA1" w:rsidRPr="0009406D" w:rsidRDefault="006A3EA1" w:rsidP="006A3EA1">
      <w:pPr>
        <w:pStyle w:val="af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индекс, отражающий уровень недостижения значений результатов предоставления субсидий.</w:t>
      </w:r>
    </w:p>
    <w:p w:rsidR="006A3EA1" w:rsidRPr="0009406D" w:rsidRDefault="006A3EA1" w:rsidP="006A3EA1">
      <w:pPr>
        <w:pStyle w:val="af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расчете коэффициента возврата субсидий (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используются только положительные значения индекса, отражающего уровень недостижения значений результатов предоставления субсидий.</w:t>
      </w:r>
    </w:p>
    <w:p w:rsidR="006A3EA1" w:rsidRPr="0009406D" w:rsidRDefault="006A3EA1" w:rsidP="006A3EA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</w:rPr>
      </w:pPr>
      <w:r w:rsidRPr="0009406D">
        <w:rPr>
          <w:rFonts w:eastAsiaTheme="minorHAnsi"/>
          <w:color w:val="000000" w:themeColor="text1"/>
        </w:rPr>
        <w:t>Индекс, отражающий уровень недостижения значений результатов предоставления субсидий (Di), определяется по формуле:</w:t>
      </w:r>
    </w:p>
    <w:p w:rsidR="006A3EA1" w:rsidRPr="0009406D" w:rsidRDefault="006A3EA1" w:rsidP="006A3EA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000000" w:themeColor="text1"/>
        </w:rPr>
      </w:pPr>
    </w:p>
    <w:p w:rsidR="006A3EA1" w:rsidRPr="0009406D" w:rsidRDefault="006A3EA1" w:rsidP="006A3EA1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</w:rPr>
      </w:pPr>
      <w:r w:rsidRPr="0009406D">
        <w:rPr>
          <w:rFonts w:eastAsiaTheme="minorHAnsi"/>
          <w:color w:val="000000" w:themeColor="text1"/>
        </w:rPr>
        <w:t>D</w:t>
      </w:r>
      <w:r w:rsidRPr="0009406D">
        <w:rPr>
          <w:rFonts w:eastAsiaTheme="minorHAnsi"/>
          <w:color w:val="000000" w:themeColor="text1"/>
          <w:vertAlign w:val="subscript"/>
        </w:rPr>
        <w:t>i</w:t>
      </w:r>
      <w:r w:rsidRPr="0009406D">
        <w:rPr>
          <w:rFonts w:eastAsiaTheme="minorHAnsi"/>
          <w:color w:val="000000" w:themeColor="text1"/>
        </w:rPr>
        <w:t xml:space="preserve"> = 1 - T</w:t>
      </w:r>
      <w:r w:rsidRPr="0009406D">
        <w:rPr>
          <w:rFonts w:eastAsiaTheme="minorHAnsi"/>
          <w:color w:val="000000" w:themeColor="text1"/>
          <w:vertAlign w:val="subscript"/>
        </w:rPr>
        <w:t>i</w:t>
      </w:r>
      <w:r w:rsidRPr="0009406D">
        <w:rPr>
          <w:rFonts w:eastAsiaTheme="minorHAnsi"/>
          <w:color w:val="000000" w:themeColor="text1"/>
        </w:rPr>
        <w:t xml:space="preserve"> / S</w:t>
      </w:r>
      <w:r w:rsidRPr="0009406D">
        <w:rPr>
          <w:rFonts w:eastAsiaTheme="minorHAnsi"/>
          <w:color w:val="000000" w:themeColor="text1"/>
          <w:vertAlign w:val="subscript"/>
        </w:rPr>
        <w:t>i</w:t>
      </w:r>
      <w:r w:rsidRPr="0009406D">
        <w:rPr>
          <w:rFonts w:eastAsiaTheme="minorHAnsi"/>
          <w:color w:val="000000" w:themeColor="text1"/>
        </w:rPr>
        <w:t>,</w:t>
      </w:r>
    </w:p>
    <w:p w:rsidR="006A3EA1" w:rsidRPr="0009406D" w:rsidRDefault="006A3EA1" w:rsidP="006A3EA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</w:rPr>
      </w:pPr>
    </w:p>
    <w:p w:rsidR="006A3EA1" w:rsidRPr="0009406D" w:rsidRDefault="006A3EA1" w:rsidP="006A3EA1">
      <w:pPr>
        <w:pStyle w:val="aff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где:</w:t>
      </w:r>
    </w:p>
    <w:p w:rsidR="006A3EA1" w:rsidRPr="0009406D" w:rsidRDefault="006A3EA1" w:rsidP="006A3EA1">
      <w:pPr>
        <w:pStyle w:val="af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фактически достигнутое значение результатов предоставления субсидии;</w:t>
      </w:r>
    </w:p>
    <w:p w:rsidR="006A3EA1" w:rsidRPr="0009406D" w:rsidRDefault="006A3EA1" w:rsidP="006A3EA1">
      <w:pPr>
        <w:pStyle w:val="af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406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94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плановое значение результатов предоставления субсидии, установленное в соглашении о предоставлении субсидии.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48. При наличии оснований, предусмотренных пунктом 46 настоящих Правил, возврат субсидий осуществляется в следующем порядке: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1) Министерство в течение 10 рабочих дней со дня обнаружения соответствующего факта направляет заявителю письменное уведомление о возврате субсидии с указанием реквизитов для перечисления суммы субсидии в бюджет Удмуртской Республики;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2) заявитель в течение 30 рабочих дней со дня получения письменного уведомления обязан перечислить указанную в нем сумму субсидии в бюджет Удмуртской Республики.</w:t>
      </w:r>
    </w:p>
    <w:p w:rsidR="006A3EA1" w:rsidRPr="0009406D" w:rsidRDefault="006A3EA1" w:rsidP="006A3EA1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09406D">
        <w:rPr>
          <w:rFonts w:eastAsia="Times New Roman"/>
          <w:bCs/>
          <w:color w:val="000000" w:themeColor="text1"/>
        </w:rPr>
        <w:t>49. В случае невозврата полученных субсидии в бюджет Удмуртской Республики в срок, установленный подпунктом 2 пункта 48 настоящих Правил, Министерство принимает меры для ее принудительного взыскания в порядке, установленном законодательством Российской Федерации.».</w:t>
      </w:r>
    </w:p>
    <w:p w:rsidR="006A3EA1" w:rsidRPr="0009406D" w:rsidRDefault="006A3EA1" w:rsidP="006A3EA1">
      <w:pPr>
        <w:rPr>
          <w:color w:val="000000" w:themeColor="text1"/>
        </w:rPr>
      </w:pPr>
    </w:p>
    <w:p w:rsidR="006A3EA1" w:rsidRPr="0009406D" w:rsidRDefault="006A3EA1" w:rsidP="006A3EA1">
      <w:pPr>
        <w:rPr>
          <w:color w:val="000000" w:themeColor="text1"/>
        </w:rPr>
      </w:pPr>
    </w:p>
    <w:p w:rsidR="006A3EA1" w:rsidRPr="0009406D" w:rsidRDefault="006A3EA1" w:rsidP="006A3EA1">
      <w:pPr>
        <w:jc w:val="center"/>
        <w:rPr>
          <w:color w:val="000000" w:themeColor="text1"/>
        </w:rPr>
      </w:pPr>
      <w:r w:rsidRPr="0009406D">
        <w:rPr>
          <w:color w:val="000000" w:themeColor="text1"/>
        </w:rPr>
        <w:t>____________</w:t>
      </w:r>
    </w:p>
    <w:p w:rsidR="006A3EA1" w:rsidRPr="0009406D" w:rsidRDefault="006A3EA1" w:rsidP="006A3EA1">
      <w:pPr>
        <w:rPr>
          <w:color w:val="000000" w:themeColor="text1"/>
        </w:rPr>
      </w:pPr>
    </w:p>
    <w:p w:rsidR="006A3EA1" w:rsidRPr="00D4602D" w:rsidRDefault="006A3EA1" w:rsidP="00D4602D">
      <w:pPr>
        <w:contextualSpacing/>
        <w:jc w:val="both"/>
      </w:pPr>
      <w:bookmarkStart w:id="0" w:name="_GoBack"/>
      <w:bookmarkEnd w:id="0"/>
    </w:p>
    <w:sectPr w:rsidR="006A3EA1" w:rsidRPr="00D4602D" w:rsidSect="00306E8E">
      <w:headerReference w:type="default" r:id="rId9"/>
      <w:footerReference w:type="default" r:id="rId10"/>
      <w:headerReference w:type="first" r:id="rId11"/>
      <w:pgSz w:w="11906" w:h="16838"/>
      <w:pgMar w:top="1134" w:right="709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9E" w:rsidRDefault="00DD139E" w:rsidP="00025F8D">
      <w:r>
        <w:separator/>
      </w:r>
    </w:p>
  </w:endnote>
  <w:endnote w:type="continuationSeparator" w:id="0">
    <w:p w:rsidR="00DD139E" w:rsidRDefault="00DD139E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43"/>
      <w:gridCol w:w="4743"/>
    </w:tblGrid>
    <w:tr w:rsidR="008F478E" w:rsidTr="006062EE">
      <w:tc>
        <w:tcPr>
          <w:tcW w:w="5069" w:type="dxa"/>
          <w:shd w:val="clear" w:color="auto" w:fill="auto"/>
        </w:tcPr>
        <w:p w:rsidR="003842E5" w:rsidRPr="0092333C" w:rsidRDefault="003842E5" w:rsidP="003842E5">
          <w:pPr>
            <w:pStyle w:val="af9"/>
            <w:rPr>
              <w:rFonts w:cs="Arial"/>
              <w:szCs w:val="18"/>
              <w:lang w:val="ru-RU" w:eastAsia="en-US"/>
            </w:rPr>
          </w:pPr>
        </w:p>
      </w:tc>
      <w:tc>
        <w:tcPr>
          <w:tcW w:w="5069" w:type="dxa"/>
          <w:shd w:val="clear" w:color="auto" w:fill="auto"/>
        </w:tcPr>
        <w:p w:rsidR="003842E5" w:rsidRPr="0092333C" w:rsidRDefault="003842E5" w:rsidP="0023005A">
          <w:pPr>
            <w:pStyle w:val="afb"/>
            <w:jc w:val="right"/>
            <w:rPr>
              <w:lang w:val="ru-RU" w:eastAsia="en-US"/>
            </w:rPr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9E" w:rsidRDefault="00DD139E" w:rsidP="00025F8D">
      <w:r>
        <w:separator/>
      </w:r>
    </w:p>
  </w:footnote>
  <w:footnote w:type="continuationSeparator" w:id="0">
    <w:p w:rsidR="00DD139E" w:rsidRDefault="00DD139E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B1" w:rsidRPr="00D40F3A" w:rsidRDefault="00AB5BB1">
    <w:pPr>
      <w:pStyle w:val="af9"/>
      <w:jc w:val="center"/>
      <w:rPr>
        <w:rFonts w:ascii="Times New Roman" w:hAnsi="Times New Roman"/>
        <w:sz w:val="20"/>
      </w:rPr>
    </w:pPr>
    <w:r w:rsidRPr="00D40F3A">
      <w:rPr>
        <w:rFonts w:ascii="Times New Roman" w:hAnsi="Times New Roman"/>
        <w:sz w:val="20"/>
      </w:rPr>
      <w:fldChar w:fldCharType="begin"/>
    </w:r>
    <w:r w:rsidRPr="00D40F3A">
      <w:rPr>
        <w:rFonts w:ascii="Times New Roman" w:hAnsi="Times New Roman"/>
        <w:sz w:val="20"/>
      </w:rPr>
      <w:instrText>PAGE   \* MERGEFORMAT</w:instrText>
    </w:r>
    <w:r w:rsidRPr="00D40F3A">
      <w:rPr>
        <w:rFonts w:ascii="Times New Roman" w:hAnsi="Times New Roman"/>
        <w:sz w:val="20"/>
      </w:rPr>
      <w:fldChar w:fldCharType="separate"/>
    </w:r>
    <w:r w:rsidR="006A3EA1">
      <w:rPr>
        <w:rFonts w:ascii="Times New Roman" w:hAnsi="Times New Roman"/>
        <w:noProof/>
        <w:sz w:val="20"/>
      </w:rPr>
      <w:t>46</w:t>
    </w:r>
    <w:r w:rsidRPr="00D40F3A">
      <w:rPr>
        <w:rFonts w:ascii="Times New Roman" w:hAnsi="Times New Roman"/>
        <w:sz w:val="20"/>
      </w:rPr>
      <w:fldChar w:fldCharType="end"/>
    </w:r>
  </w:p>
  <w:p w:rsidR="00981B45" w:rsidRDefault="00981B4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5E7050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03E19D4" w:tentative="1">
      <w:start w:val="1"/>
      <w:numFmt w:val="lowerLetter"/>
      <w:lvlText w:val="%2."/>
      <w:lvlJc w:val="left"/>
      <w:pPr>
        <w:ind w:left="1440" w:hanging="360"/>
      </w:pPr>
    </w:lvl>
    <w:lvl w:ilvl="2" w:tplc="4DE853C6" w:tentative="1">
      <w:start w:val="1"/>
      <w:numFmt w:val="lowerRoman"/>
      <w:lvlText w:val="%3."/>
      <w:lvlJc w:val="right"/>
      <w:pPr>
        <w:ind w:left="2160" w:hanging="180"/>
      </w:pPr>
    </w:lvl>
    <w:lvl w:ilvl="3" w:tplc="4636F7A8" w:tentative="1">
      <w:start w:val="1"/>
      <w:numFmt w:val="decimal"/>
      <w:lvlText w:val="%4."/>
      <w:lvlJc w:val="left"/>
      <w:pPr>
        <w:ind w:left="2880" w:hanging="360"/>
      </w:pPr>
    </w:lvl>
    <w:lvl w:ilvl="4" w:tplc="6A7A34EC" w:tentative="1">
      <w:start w:val="1"/>
      <w:numFmt w:val="lowerLetter"/>
      <w:lvlText w:val="%5."/>
      <w:lvlJc w:val="left"/>
      <w:pPr>
        <w:ind w:left="3600" w:hanging="360"/>
      </w:pPr>
    </w:lvl>
    <w:lvl w:ilvl="5" w:tplc="B1D23E20" w:tentative="1">
      <w:start w:val="1"/>
      <w:numFmt w:val="lowerRoman"/>
      <w:lvlText w:val="%6."/>
      <w:lvlJc w:val="right"/>
      <w:pPr>
        <w:ind w:left="4320" w:hanging="180"/>
      </w:pPr>
    </w:lvl>
    <w:lvl w:ilvl="6" w:tplc="B98A690A" w:tentative="1">
      <w:start w:val="1"/>
      <w:numFmt w:val="decimal"/>
      <w:lvlText w:val="%7."/>
      <w:lvlJc w:val="left"/>
      <w:pPr>
        <w:ind w:left="5040" w:hanging="360"/>
      </w:pPr>
    </w:lvl>
    <w:lvl w:ilvl="7" w:tplc="00D2D1FA" w:tentative="1">
      <w:start w:val="1"/>
      <w:numFmt w:val="lowerLetter"/>
      <w:lvlText w:val="%8."/>
      <w:lvlJc w:val="left"/>
      <w:pPr>
        <w:ind w:left="5760" w:hanging="360"/>
      </w:pPr>
    </w:lvl>
    <w:lvl w:ilvl="8" w:tplc="E3920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E84646EA">
      <w:start w:val="1"/>
      <w:numFmt w:val="decimal"/>
      <w:lvlText w:val="%1."/>
      <w:lvlJc w:val="left"/>
      <w:pPr>
        <w:ind w:left="720" w:hanging="360"/>
      </w:pPr>
    </w:lvl>
    <w:lvl w:ilvl="1" w:tplc="15F0F8F2" w:tentative="1">
      <w:start w:val="1"/>
      <w:numFmt w:val="lowerLetter"/>
      <w:lvlText w:val="%2."/>
      <w:lvlJc w:val="left"/>
      <w:pPr>
        <w:ind w:left="1440" w:hanging="360"/>
      </w:pPr>
    </w:lvl>
    <w:lvl w:ilvl="2" w:tplc="FEBC23BC" w:tentative="1">
      <w:start w:val="1"/>
      <w:numFmt w:val="lowerRoman"/>
      <w:lvlText w:val="%3."/>
      <w:lvlJc w:val="right"/>
      <w:pPr>
        <w:ind w:left="2160" w:hanging="180"/>
      </w:pPr>
    </w:lvl>
    <w:lvl w:ilvl="3" w:tplc="37261538" w:tentative="1">
      <w:start w:val="1"/>
      <w:numFmt w:val="decimal"/>
      <w:lvlText w:val="%4."/>
      <w:lvlJc w:val="left"/>
      <w:pPr>
        <w:ind w:left="2880" w:hanging="360"/>
      </w:pPr>
    </w:lvl>
    <w:lvl w:ilvl="4" w:tplc="596E3932" w:tentative="1">
      <w:start w:val="1"/>
      <w:numFmt w:val="lowerLetter"/>
      <w:lvlText w:val="%5."/>
      <w:lvlJc w:val="left"/>
      <w:pPr>
        <w:ind w:left="3600" w:hanging="360"/>
      </w:pPr>
    </w:lvl>
    <w:lvl w:ilvl="5" w:tplc="85440FB8" w:tentative="1">
      <w:start w:val="1"/>
      <w:numFmt w:val="lowerRoman"/>
      <w:lvlText w:val="%6."/>
      <w:lvlJc w:val="right"/>
      <w:pPr>
        <w:ind w:left="4320" w:hanging="180"/>
      </w:pPr>
    </w:lvl>
    <w:lvl w:ilvl="6" w:tplc="6F30DDCE" w:tentative="1">
      <w:start w:val="1"/>
      <w:numFmt w:val="decimal"/>
      <w:lvlText w:val="%7."/>
      <w:lvlJc w:val="left"/>
      <w:pPr>
        <w:ind w:left="5040" w:hanging="360"/>
      </w:pPr>
    </w:lvl>
    <w:lvl w:ilvl="7" w:tplc="E56C2034" w:tentative="1">
      <w:start w:val="1"/>
      <w:numFmt w:val="lowerLetter"/>
      <w:lvlText w:val="%8."/>
      <w:lvlJc w:val="left"/>
      <w:pPr>
        <w:ind w:left="5760" w:hanging="360"/>
      </w:pPr>
    </w:lvl>
    <w:lvl w:ilvl="8" w:tplc="DE6ED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46F80530">
      <w:start w:val="1"/>
      <w:numFmt w:val="decimal"/>
      <w:lvlText w:val="%1."/>
      <w:lvlJc w:val="left"/>
      <w:pPr>
        <w:ind w:left="720" w:hanging="360"/>
      </w:pPr>
    </w:lvl>
    <w:lvl w:ilvl="1" w:tplc="53404930" w:tentative="1">
      <w:start w:val="1"/>
      <w:numFmt w:val="lowerLetter"/>
      <w:lvlText w:val="%2."/>
      <w:lvlJc w:val="left"/>
      <w:pPr>
        <w:ind w:left="1440" w:hanging="360"/>
      </w:pPr>
    </w:lvl>
    <w:lvl w:ilvl="2" w:tplc="3B48938E" w:tentative="1">
      <w:start w:val="1"/>
      <w:numFmt w:val="lowerRoman"/>
      <w:lvlText w:val="%3."/>
      <w:lvlJc w:val="right"/>
      <w:pPr>
        <w:ind w:left="2160" w:hanging="180"/>
      </w:pPr>
    </w:lvl>
    <w:lvl w:ilvl="3" w:tplc="4D5C5B04" w:tentative="1">
      <w:start w:val="1"/>
      <w:numFmt w:val="decimal"/>
      <w:lvlText w:val="%4."/>
      <w:lvlJc w:val="left"/>
      <w:pPr>
        <w:ind w:left="2880" w:hanging="360"/>
      </w:pPr>
    </w:lvl>
    <w:lvl w:ilvl="4" w:tplc="35C65EB4" w:tentative="1">
      <w:start w:val="1"/>
      <w:numFmt w:val="lowerLetter"/>
      <w:lvlText w:val="%5."/>
      <w:lvlJc w:val="left"/>
      <w:pPr>
        <w:ind w:left="3600" w:hanging="360"/>
      </w:pPr>
    </w:lvl>
    <w:lvl w:ilvl="5" w:tplc="861C58C8" w:tentative="1">
      <w:start w:val="1"/>
      <w:numFmt w:val="lowerRoman"/>
      <w:lvlText w:val="%6."/>
      <w:lvlJc w:val="right"/>
      <w:pPr>
        <w:ind w:left="4320" w:hanging="180"/>
      </w:pPr>
    </w:lvl>
    <w:lvl w:ilvl="6" w:tplc="435C9586" w:tentative="1">
      <w:start w:val="1"/>
      <w:numFmt w:val="decimal"/>
      <w:lvlText w:val="%7."/>
      <w:lvlJc w:val="left"/>
      <w:pPr>
        <w:ind w:left="5040" w:hanging="360"/>
      </w:pPr>
    </w:lvl>
    <w:lvl w:ilvl="7" w:tplc="C7F80090" w:tentative="1">
      <w:start w:val="1"/>
      <w:numFmt w:val="lowerLetter"/>
      <w:lvlText w:val="%8."/>
      <w:lvlJc w:val="left"/>
      <w:pPr>
        <w:ind w:left="5760" w:hanging="360"/>
      </w:pPr>
    </w:lvl>
    <w:lvl w:ilvl="8" w:tplc="F6583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E15E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C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6E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A1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CD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AB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A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E1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87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0C0C731C">
      <w:start w:val="1"/>
      <w:numFmt w:val="decimal"/>
      <w:lvlText w:val="%1."/>
      <w:lvlJc w:val="left"/>
      <w:pPr>
        <w:ind w:left="360" w:hanging="360"/>
      </w:pPr>
    </w:lvl>
    <w:lvl w:ilvl="1" w:tplc="78E6A78A" w:tentative="1">
      <w:start w:val="1"/>
      <w:numFmt w:val="lowerLetter"/>
      <w:lvlText w:val="%2."/>
      <w:lvlJc w:val="left"/>
      <w:pPr>
        <w:ind w:left="1364" w:hanging="360"/>
      </w:pPr>
    </w:lvl>
    <w:lvl w:ilvl="2" w:tplc="D2D242F8" w:tentative="1">
      <w:start w:val="1"/>
      <w:numFmt w:val="lowerRoman"/>
      <w:lvlText w:val="%3."/>
      <w:lvlJc w:val="right"/>
      <w:pPr>
        <w:ind w:left="2084" w:hanging="180"/>
      </w:pPr>
    </w:lvl>
    <w:lvl w:ilvl="3" w:tplc="7504B2FE" w:tentative="1">
      <w:start w:val="1"/>
      <w:numFmt w:val="decimal"/>
      <w:lvlText w:val="%4."/>
      <w:lvlJc w:val="left"/>
      <w:pPr>
        <w:ind w:left="2804" w:hanging="360"/>
      </w:pPr>
    </w:lvl>
    <w:lvl w:ilvl="4" w:tplc="2E3E8790" w:tentative="1">
      <w:start w:val="1"/>
      <w:numFmt w:val="lowerLetter"/>
      <w:lvlText w:val="%5."/>
      <w:lvlJc w:val="left"/>
      <w:pPr>
        <w:ind w:left="3524" w:hanging="360"/>
      </w:pPr>
    </w:lvl>
    <w:lvl w:ilvl="5" w:tplc="2C808472" w:tentative="1">
      <w:start w:val="1"/>
      <w:numFmt w:val="lowerRoman"/>
      <w:lvlText w:val="%6."/>
      <w:lvlJc w:val="right"/>
      <w:pPr>
        <w:ind w:left="4244" w:hanging="180"/>
      </w:pPr>
    </w:lvl>
    <w:lvl w:ilvl="6" w:tplc="A9E4242A" w:tentative="1">
      <w:start w:val="1"/>
      <w:numFmt w:val="decimal"/>
      <w:lvlText w:val="%7."/>
      <w:lvlJc w:val="left"/>
      <w:pPr>
        <w:ind w:left="4964" w:hanging="360"/>
      </w:pPr>
    </w:lvl>
    <w:lvl w:ilvl="7" w:tplc="AF802CDC" w:tentative="1">
      <w:start w:val="1"/>
      <w:numFmt w:val="lowerLetter"/>
      <w:lvlText w:val="%8."/>
      <w:lvlJc w:val="left"/>
      <w:pPr>
        <w:ind w:left="5684" w:hanging="360"/>
      </w:pPr>
    </w:lvl>
    <w:lvl w:ilvl="8" w:tplc="758ABF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7004DCAA">
      <w:start w:val="1"/>
      <w:numFmt w:val="decimal"/>
      <w:lvlText w:val="%1."/>
      <w:lvlJc w:val="left"/>
      <w:pPr>
        <w:ind w:left="720" w:hanging="360"/>
      </w:pPr>
    </w:lvl>
    <w:lvl w:ilvl="1" w:tplc="181A0F72" w:tentative="1">
      <w:start w:val="1"/>
      <w:numFmt w:val="lowerLetter"/>
      <w:lvlText w:val="%2."/>
      <w:lvlJc w:val="left"/>
      <w:pPr>
        <w:ind w:left="1440" w:hanging="360"/>
      </w:pPr>
    </w:lvl>
    <w:lvl w:ilvl="2" w:tplc="D2A0C370" w:tentative="1">
      <w:start w:val="1"/>
      <w:numFmt w:val="lowerRoman"/>
      <w:lvlText w:val="%3."/>
      <w:lvlJc w:val="right"/>
      <w:pPr>
        <w:ind w:left="2160" w:hanging="180"/>
      </w:pPr>
    </w:lvl>
    <w:lvl w:ilvl="3" w:tplc="1938D92A" w:tentative="1">
      <w:start w:val="1"/>
      <w:numFmt w:val="decimal"/>
      <w:lvlText w:val="%4."/>
      <w:lvlJc w:val="left"/>
      <w:pPr>
        <w:ind w:left="2880" w:hanging="360"/>
      </w:pPr>
    </w:lvl>
    <w:lvl w:ilvl="4" w:tplc="A1D2A626" w:tentative="1">
      <w:start w:val="1"/>
      <w:numFmt w:val="lowerLetter"/>
      <w:lvlText w:val="%5."/>
      <w:lvlJc w:val="left"/>
      <w:pPr>
        <w:ind w:left="3600" w:hanging="360"/>
      </w:pPr>
    </w:lvl>
    <w:lvl w:ilvl="5" w:tplc="AFBC59BA" w:tentative="1">
      <w:start w:val="1"/>
      <w:numFmt w:val="lowerRoman"/>
      <w:lvlText w:val="%6."/>
      <w:lvlJc w:val="right"/>
      <w:pPr>
        <w:ind w:left="4320" w:hanging="180"/>
      </w:pPr>
    </w:lvl>
    <w:lvl w:ilvl="6" w:tplc="A8CE5530" w:tentative="1">
      <w:start w:val="1"/>
      <w:numFmt w:val="decimal"/>
      <w:lvlText w:val="%7."/>
      <w:lvlJc w:val="left"/>
      <w:pPr>
        <w:ind w:left="5040" w:hanging="360"/>
      </w:pPr>
    </w:lvl>
    <w:lvl w:ilvl="7" w:tplc="8C2C176A" w:tentative="1">
      <w:start w:val="1"/>
      <w:numFmt w:val="lowerLetter"/>
      <w:lvlText w:val="%8."/>
      <w:lvlJc w:val="left"/>
      <w:pPr>
        <w:ind w:left="5760" w:hanging="360"/>
      </w:pPr>
    </w:lvl>
    <w:lvl w:ilvl="8" w:tplc="8D765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54D84BDC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B8BA3A6E" w:tentative="1">
      <w:start w:val="1"/>
      <w:numFmt w:val="lowerLetter"/>
      <w:lvlText w:val="%2."/>
      <w:lvlJc w:val="left"/>
      <w:pPr>
        <w:ind w:left="1440" w:hanging="360"/>
      </w:pPr>
    </w:lvl>
    <w:lvl w:ilvl="2" w:tplc="068A229C" w:tentative="1">
      <w:start w:val="1"/>
      <w:numFmt w:val="lowerRoman"/>
      <w:lvlText w:val="%3."/>
      <w:lvlJc w:val="right"/>
      <w:pPr>
        <w:ind w:left="2160" w:hanging="180"/>
      </w:pPr>
    </w:lvl>
    <w:lvl w:ilvl="3" w:tplc="0D90D25A" w:tentative="1">
      <w:start w:val="1"/>
      <w:numFmt w:val="decimal"/>
      <w:lvlText w:val="%4."/>
      <w:lvlJc w:val="left"/>
      <w:pPr>
        <w:ind w:left="2880" w:hanging="360"/>
      </w:pPr>
    </w:lvl>
    <w:lvl w:ilvl="4" w:tplc="4A38A5D4" w:tentative="1">
      <w:start w:val="1"/>
      <w:numFmt w:val="lowerLetter"/>
      <w:lvlText w:val="%5."/>
      <w:lvlJc w:val="left"/>
      <w:pPr>
        <w:ind w:left="3600" w:hanging="360"/>
      </w:pPr>
    </w:lvl>
    <w:lvl w:ilvl="5" w:tplc="51406994" w:tentative="1">
      <w:start w:val="1"/>
      <w:numFmt w:val="lowerRoman"/>
      <w:lvlText w:val="%6."/>
      <w:lvlJc w:val="right"/>
      <w:pPr>
        <w:ind w:left="4320" w:hanging="180"/>
      </w:pPr>
    </w:lvl>
    <w:lvl w:ilvl="6" w:tplc="B25E75CA" w:tentative="1">
      <w:start w:val="1"/>
      <w:numFmt w:val="decimal"/>
      <w:lvlText w:val="%7."/>
      <w:lvlJc w:val="left"/>
      <w:pPr>
        <w:ind w:left="5040" w:hanging="360"/>
      </w:pPr>
    </w:lvl>
    <w:lvl w:ilvl="7" w:tplc="49B61E24" w:tentative="1">
      <w:start w:val="1"/>
      <w:numFmt w:val="lowerLetter"/>
      <w:lvlText w:val="%8."/>
      <w:lvlJc w:val="left"/>
      <w:pPr>
        <w:ind w:left="5760" w:hanging="360"/>
      </w:pPr>
    </w:lvl>
    <w:lvl w:ilvl="8" w:tplc="CDC6C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DE761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C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01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0D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C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6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5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ED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CF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2676C86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6A640F72" w:tentative="1">
      <w:start w:val="1"/>
      <w:numFmt w:val="lowerLetter"/>
      <w:lvlText w:val="%2."/>
      <w:lvlJc w:val="left"/>
      <w:pPr>
        <w:ind w:left="2007" w:hanging="360"/>
      </w:pPr>
    </w:lvl>
    <w:lvl w:ilvl="2" w:tplc="C6F67A7A" w:tentative="1">
      <w:start w:val="1"/>
      <w:numFmt w:val="lowerRoman"/>
      <w:lvlText w:val="%3."/>
      <w:lvlJc w:val="right"/>
      <w:pPr>
        <w:ind w:left="2727" w:hanging="180"/>
      </w:pPr>
    </w:lvl>
    <w:lvl w:ilvl="3" w:tplc="0742B37C" w:tentative="1">
      <w:start w:val="1"/>
      <w:numFmt w:val="decimal"/>
      <w:lvlText w:val="%4."/>
      <w:lvlJc w:val="left"/>
      <w:pPr>
        <w:ind w:left="3447" w:hanging="360"/>
      </w:pPr>
    </w:lvl>
    <w:lvl w:ilvl="4" w:tplc="1764CC52" w:tentative="1">
      <w:start w:val="1"/>
      <w:numFmt w:val="lowerLetter"/>
      <w:lvlText w:val="%5."/>
      <w:lvlJc w:val="left"/>
      <w:pPr>
        <w:ind w:left="4167" w:hanging="360"/>
      </w:pPr>
    </w:lvl>
    <w:lvl w:ilvl="5" w:tplc="DB4C82C8" w:tentative="1">
      <w:start w:val="1"/>
      <w:numFmt w:val="lowerRoman"/>
      <w:lvlText w:val="%6."/>
      <w:lvlJc w:val="right"/>
      <w:pPr>
        <w:ind w:left="4887" w:hanging="180"/>
      </w:pPr>
    </w:lvl>
    <w:lvl w:ilvl="6" w:tplc="CB3A116C" w:tentative="1">
      <w:start w:val="1"/>
      <w:numFmt w:val="decimal"/>
      <w:lvlText w:val="%7."/>
      <w:lvlJc w:val="left"/>
      <w:pPr>
        <w:ind w:left="5607" w:hanging="360"/>
      </w:pPr>
    </w:lvl>
    <w:lvl w:ilvl="7" w:tplc="A5EA7810" w:tentative="1">
      <w:start w:val="1"/>
      <w:numFmt w:val="lowerLetter"/>
      <w:lvlText w:val="%8."/>
      <w:lvlJc w:val="left"/>
      <w:pPr>
        <w:ind w:left="6327" w:hanging="360"/>
      </w:pPr>
    </w:lvl>
    <w:lvl w:ilvl="8" w:tplc="86C226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3FE81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6C8EC68" w:tentative="1">
      <w:start w:val="1"/>
      <w:numFmt w:val="lowerLetter"/>
      <w:lvlText w:val="%2."/>
      <w:lvlJc w:val="left"/>
      <w:pPr>
        <w:ind w:left="1440" w:hanging="360"/>
      </w:pPr>
    </w:lvl>
    <w:lvl w:ilvl="2" w:tplc="F60CD82C" w:tentative="1">
      <w:start w:val="1"/>
      <w:numFmt w:val="lowerRoman"/>
      <w:lvlText w:val="%3."/>
      <w:lvlJc w:val="right"/>
      <w:pPr>
        <w:ind w:left="2160" w:hanging="180"/>
      </w:pPr>
    </w:lvl>
    <w:lvl w:ilvl="3" w:tplc="B2445DC6" w:tentative="1">
      <w:start w:val="1"/>
      <w:numFmt w:val="decimal"/>
      <w:lvlText w:val="%4."/>
      <w:lvlJc w:val="left"/>
      <w:pPr>
        <w:ind w:left="2880" w:hanging="360"/>
      </w:pPr>
    </w:lvl>
    <w:lvl w:ilvl="4" w:tplc="E67227CC" w:tentative="1">
      <w:start w:val="1"/>
      <w:numFmt w:val="lowerLetter"/>
      <w:lvlText w:val="%5."/>
      <w:lvlJc w:val="left"/>
      <w:pPr>
        <w:ind w:left="3600" w:hanging="360"/>
      </w:pPr>
    </w:lvl>
    <w:lvl w:ilvl="5" w:tplc="1C10D8DE" w:tentative="1">
      <w:start w:val="1"/>
      <w:numFmt w:val="lowerRoman"/>
      <w:lvlText w:val="%6."/>
      <w:lvlJc w:val="right"/>
      <w:pPr>
        <w:ind w:left="4320" w:hanging="180"/>
      </w:pPr>
    </w:lvl>
    <w:lvl w:ilvl="6" w:tplc="65F849AA" w:tentative="1">
      <w:start w:val="1"/>
      <w:numFmt w:val="decimal"/>
      <w:lvlText w:val="%7."/>
      <w:lvlJc w:val="left"/>
      <w:pPr>
        <w:ind w:left="5040" w:hanging="360"/>
      </w:pPr>
    </w:lvl>
    <w:lvl w:ilvl="7" w:tplc="63F4FBD2" w:tentative="1">
      <w:start w:val="1"/>
      <w:numFmt w:val="lowerLetter"/>
      <w:lvlText w:val="%8."/>
      <w:lvlJc w:val="left"/>
      <w:pPr>
        <w:ind w:left="5760" w:hanging="360"/>
      </w:pPr>
    </w:lvl>
    <w:lvl w:ilvl="8" w:tplc="4078C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AD3EAA9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34808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0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F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64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27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88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F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EE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3B4401AA">
      <w:start w:val="1"/>
      <w:numFmt w:val="decimal"/>
      <w:lvlText w:val="%1."/>
      <w:lvlJc w:val="left"/>
      <w:pPr>
        <w:ind w:left="720" w:hanging="360"/>
      </w:pPr>
    </w:lvl>
    <w:lvl w:ilvl="1" w:tplc="2F10E6F6" w:tentative="1">
      <w:start w:val="1"/>
      <w:numFmt w:val="lowerLetter"/>
      <w:lvlText w:val="%2."/>
      <w:lvlJc w:val="left"/>
      <w:pPr>
        <w:ind w:left="1440" w:hanging="360"/>
      </w:pPr>
    </w:lvl>
    <w:lvl w:ilvl="2" w:tplc="2376DABA" w:tentative="1">
      <w:start w:val="1"/>
      <w:numFmt w:val="lowerRoman"/>
      <w:lvlText w:val="%3."/>
      <w:lvlJc w:val="right"/>
      <w:pPr>
        <w:ind w:left="2160" w:hanging="180"/>
      </w:pPr>
    </w:lvl>
    <w:lvl w:ilvl="3" w:tplc="A2089BFA" w:tentative="1">
      <w:start w:val="1"/>
      <w:numFmt w:val="decimal"/>
      <w:lvlText w:val="%4."/>
      <w:lvlJc w:val="left"/>
      <w:pPr>
        <w:ind w:left="2880" w:hanging="360"/>
      </w:pPr>
    </w:lvl>
    <w:lvl w:ilvl="4" w:tplc="3F10A2CC" w:tentative="1">
      <w:start w:val="1"/>
      <w:numFmt w:val="lowerLetter"/>
      <w:lvlText w:val="%5."/>
      <w:lvlJc w:val="left"/>
      <w:pPr>
        <w:ind w:left="3600" w:hanging="360"/>
      </w:pPr>
    </w:lvl>
    <w:lvl w:ilvl="5" w:tplc="00540616" w:tentative="1">
      <w:start w:val="1"/>
      <w:numFmt w:val="lowerRoman"/>
      <w:lvlText w:val="%6."/>
      <w:lvlJc w:val="right"/>
      <w:pPr>
        <w:ind w:left="4320" w:hanging="180"/>
      </w:pPr>
    </w:lvl>
    <w:lvl w:ilvl="6" w:tplc="E060741C" w:tentative="1">
      <w:start w:val="1"/>
      <w:numFmt w:val="decimal"/>
      <w:lvlText w:val="%7."/>
      <w:lvlJc w:val="left"/>
      <w:pPr>
        <w:ind w:left="5040" w:hanging="360"/>
      </w:pPr>
    </w:lvl>
    <w:lvl w:ilvl="7" w:tplc="F5987B90" w:tentative="1">
      <w:start w:val="1"/>
      <w:numFmt w:val="lowerLetter"/>
      <w:lvlText w:val="%8."/>
      <w:lvlJc w:val="left"/>
      <w:pPr>
        <w:ind w:left="5760" w:hanging="360"/>
      </w:pPr>
    </w:lvl>
    <w:lvl w:ilvl="8" w:tplc="D1D44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2C6C9A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47120704" w:tentative="1">
      <w:start w:val="1"/>
      <w:numFmt w:val="lowerLetter"/>
      <w:lvlText w:val="%2."/>
      <w:lvlJc w:val="left"/>
      <w:pPr>
        <w:ind w:left="1440" w:hanging="360"/>
      </w:pPr>
    </w:lvl>
    <w:lvl w:ilvl="2" w:tplc="85A8197E" w:tentative="1">
      <w:start w:val="1"/>
      <w:numFmt w:val="lowerRoman"/>
      <w:lvlText w:val="%3."/>
      <w:lvlJc w:val="right"/>
      <w:pPr>
        <w:ind w:left="2160" w:hanging="180"/>
      </w:pPr>
    </w:lvl>
    <w:lvl w:ilvl="3" w:tplc="37BC87FE" w:tentative="1">
      <w:start w:val="1"/>
      <w:numFmt w:val="decimal"/>
      <w:lvlText w:val="%4."/>
      <w:lvlJc w:val="left"/>
      <w:pPr>
        <w:ind w:left="2880" w:hanging="360"/>
      </w:pPr>
    </w:lvl>
    <w:lvl w:ilvl="4" w:tplc="BC7A1D0C" w:tentative="1">
      <w:start w:val="1"/>
      <w:numFmt w:val="lowerLetter"/>
      <w:lvlText w:val="%5."/>
      <w:lvlJc w:val="left"/>
      <w:pPr>
        <w:ind w:left="3600" w:hanging="360"/>
      </w:pPr>
    </w:lvl>
    <w:lvl w:ilvl="5" w:tplc="C1E03222" w:tentative="1">
      <w:start w:val="1"/>
      <w:numFmt w:val="lowerRoman"/>
      <w:lvlText w:val="%6."/>
      <w:lvlJc w:val="right"/>
      <w:pPr>
        <w:ind w:left="4320" w:hanging="180"/>
      </w:pPr>
    </w:lvl>
    <w:lvl w:ilvl="6" w:tplc="ACE20656" w:tentative="1">
      <w:start w:val="1"/>
      <w:numFmt w:val="decimal"/>
      <w:lvlText w:val="%7."/>
      <w:lvlJc w:val="left"/>
      <w:pPr>
        <w:ind w:left="5040" w:hanging="360"/>
      </w:pPr>
    </w:lvl>
    <w:lvl w:ilvl="7" w:tplc="8E5C07D6" w:tentative="1">
      <w:start w:val="1"/>
      <w:numFmt w:val="lowerLetter"/>
      <w:lvlText w:val="%8."/>
      <w:lvlJc w:val="left"/>
      <w:pPr>
        <w:ind w:left="5760" w:hanging="360"/>
      </w:pPr>
    </w:lvl>
    <w:lvl w:ilvl="8" w:tplc="02527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1" w15:restartNumberingAfterBreak="0">
    <w:nsid w:val="7D113D65"/>
    <w:multiLevelType w:val="hybridMultilevel"/>
    <w:tmpl w:val="FAD44EBE"/>
    <w:lvl w:ilvl="0" w:tplc="3606F7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D97E9B"/>
    <w:multiLevelType w:val="hybridMultilevel"/>
    <w:tmpl w:val="5A6C7490"/>
    <w:lvl w:ilvl="0" w:tplc="5974328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  <w:num w:numId="48">
    <w:abstractNumId w:val="4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E"/>
    <w:rsid w:val="00006266"/>
    <w:rsid w:val="00007319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47CB9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1866"/>
    <w:rsid w:val="000C252E"/>
    <w:rsid w:val="000C352A"/>
    <w:rsid w:val="000D0316"/>
    <w:rsid w:val="000D10F5"/>
    <w:rsid w:val="000F4836"/>
    <w:rsid w:val="000F7EBD"/>
    <w:rsid w:val="00103DB4"/>
    <w:rsid w:val="00104DD2"/>
    <w:rsid w:val="00111508"/>
    <w:rsid w:val="001143AA"/>
    <w:rsid w:val="0011572D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28D4"/>
    <w:rsid w:val="00174DDF"/>
    <w:rsid w:val="001803B8"/>
    <w:rsid w:val="00180FFA"/>
    <w:rsid w:val="00183BE5"/>
    <w:rsid w:val="00186DA6"/>
    <w:rsid w:val="001911FC"/>
    <w:rsid w:val="00192BDF"/>
    <w:rsid w:val="001946E2"/>
    <w:rsid w:val="001A619C"/>
    <w:rsid w:val="001A6E0F"/>
    <w:rsid w:val="001B060A"/>
    <w:rsid w:val="001C046D"/>
    <w:rsid w:val="001C76AA"/>
    <w:rsid w:val="001D1DDE"/>
    <w:rsid w:val="001D29B5"/>
    <w:rsid w:val="001D7DCA"/>
    <w:rsid w:val="001E2579"/>
    <w:rsid w:val="001E3482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C97"/>
    <w:rsid w:val="001F7F5A"/>
    <w:rsid w:val="002044AF"/>
    <w:rsid w:val="0020516E"/>
    <w:rsid w:val="00212802"/>
    <w:rsid w:val="00220346"/>
    <w:rsid w:val="00225CD7"/>
    <w:rsid w:val="0023005A"/>
    <w:rsid w:val="00230CDF"/>
    <w:rsid w:val="00232D7B"/>
    <w:rsid w:val="0023413C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E0E14"/>
    <w:rsid w:val="002F027B"/>
    <w:rsid w:val="002F3C58"/>
    <w:rsid w:val="002F496F"/>
    <w:rsid w:val="002F4B0B"/>
    <w:rsid w:val="002F5B15"/>
    <w:rsid w:val="00301098"/>
    <w:rsid w:val="0030283C"/>
    <w:rsid w:val="003046D6"/>
    <w:rsid w:val="003049FB"/>
    <w:rsid w:val="00306E8E"/>
    <w:rsid w:val="00311C8C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419CB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B0FBD"/>
    <w:rsid w:val="003B607B"/>
    <w:rsid w:val="003C6AB6"/>
    <w:rsid w:val="003D4206"/>
    <w:rsid w:val="003D4D0B"/>
    <w:rsid w:val="003D54EB"/>
    <w:rsid w:val="003D701F"/>
    <w:rsid w:val="003E209A"/>
    <w:rsid w:val="003F65CD"/>
    <w:rsid w:val="00401517"/>
    <w:rsid w:val="00401F2C"/>
    <w:rsid w:val="004021B7"/>
    <w:rsid w:val="00405019"/>
    <w:rsid w:val="00406383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42B9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D3CD8"/>
    <w:rsid w:val="004E0ADD"/>
    <w:rsid w:val="004E1898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573B"/>
    <w:rsid w:val="00536C78"/>
    <w:rsid w:val="005422BD"/>
    <w:rsid w:val="0054256E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05CD"/>
    <w:rsid w:val="005E31E6"/>
    <w:rsid w:val="005E7B7D"/>
    <w:rsid w:val="005F478B"/>
    <w:rsid w:val="005F4DFF"/>
    <w:rsid w:val="00601DD6"/>
    <w:rsid w:val="00602F67"/>
    <w:rsid w:val="00603FFA"/>
    <w:rsid w:val="006062EE"/>
    <w:rsid w:val="00607400"/>
    <w:rsid w:val="006123AD"/>
    <w:rsid w:val="00614B26"/>
    <w:rsid w:val="00630EB5"/>
    <w:rsid w:val="00635ABE"/>
    <w:rsid w:val="006365CC"/>
    <w:rsid w:val="00636733"/>
    <w:rsid w:val="00640D0F"/>
    <w:rsid w:val="0065226D"/>
    <w:rsid w:val="00661AD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504E"/>
    <w:rsid w:val="006873A4"/>
    <w:rsid w:val="0068741B"/>
    <w:rsid w:val="00691F48"/>
    <w:rsid w:val="00695079"/>
    <w:rsid w:val="00696F06"/>
    <w:rsid w:val="006A3EA1"/>
    <w:rsid w:val="006B596B"/>
    <w:rsid w:val="006B6C5C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26DB"/>
    <w:rsid w:val="00724EDC"/>
    <w:rsid w:val="00733EB9"/>
    <w:rsid w:val="0073545C"/>
    <w:rsid w:val="00736E8F"/>
    <w:rsid w:val="007510DE"/>
    <w:rsid w:val="00754BC0"/>
    <w:rsid w:val="00756F84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2D04"/>
    <w:rsid w:val="007D140A"/>
    <w:rsid w:val="007D53CD"/>
    <w:rsid w:val="007D6F36"/>
    <w:rsid w:val="007D7681"/>
    <w:rsid w:val="007F21B3"/>
    <w:rsid w:val="007F4EFC"/>
    <w:rsid w:val="007F4F1D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2684B"/>
    <w:rsid w:val="0083080D"/>
    <w:rsid w:val="00830AF4"/>
    <w:rsid w:val="00840E02"/>
    <w:rsid w:val="008513FC"/>
    <w:rsid w:val="0086093F"/>
    <w:rsid w:val="008640BA"/>
    <w:rsid w:val="00873DC0"/>
    <w:rsid w:val="00877140"/>
    <w:rsid w:val="00877589"/>
    <w:rsid w:val="00892076"/>
    <w:rsid w:val="0089252D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ABC"/>
    <w:rsid w:val="008D2EE0"/>
    <w:rsid w:val="008D46D1"/>
    <w:rsid w:val="008D6F7D"/>
    <w:rsid w:val="008D752B"/>
    <w:rsid w:val="008E5584"/>
    <w:rsid w:val="008E76DB"/>
    <w:rsid w:val="008F0208"/>
    <w:rsid w:val="008F2AC9"/>
    <w:rsid w:val="008F478E"/>
    <w:rsid w:val="0091431E"/>
    <w:rsid w:val="0091550E"/>
    <w:rsid w:val="00921A41"/>
    <w:rsid w:val="0092259E"/>
    <w:rsid w:val="0092333C"/>
    <w:rsid w:val="00925E2D"/>
    <w:rsid w:val="009273A1"/>
    <w:rsid w:val="00932F77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1B45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3BA1"/>
    <w:rsid w:val="009D6522"/>
    <w:rsid w:val="009F5C1C"/>
    <w:rsid w:val="00A0004E"/>
    <w:rsid w:val="00A04AB4"/>
    <w:rsid w:val="00A159E4"/>
    <w:rsid w:val="00A17A51"/>
    <w:rsid w:val="00A2334D"/>
    <w:rsid w:val="00A27CD1"/>
    <w:rsid w:val="00A41773"/>
    <w:rsid w:val="00A460E6"/>
    <w:rsid w:val="00A46656"/>
    <w:rsid w:val="00A64A83"/>
    <w:rsid w:val="00A6616F"/>
    <w:rsid w:val="00A731F8"/>
    <w:rsid w:val="00A77D06"/>
    <w:rsid w:val="00A80424"/>
    <w:rsid w:val="00A8095B"/>
    <w:rsid w:val="00A80B67"/>
    <w:rsid w:val="00A80CBD"/>
    <w:rsid w:val="00A81363"/>
    <w:rsid w:val="00A93191"/>
    <w:rsid w:val="00A945EC"/>
    <w:rsid w:val="00A956AE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5BB1"/>
    <w:rsid w:val="00AC3122"/>
    <w:rsid w:val="00AC56B3"/>
    <w:rsid w:val="00AD0B5A"/>
    <w:rsid w:val="00AD2272"/>
    <w:rsid w:val="00AD3592"/>
    <w:rsid w:val="00AD3C5C"/>
    <w:rsid w:val="00AD3F7A"/>
    <w:rsid w:val="00AE1763"/>
    <w:rsid w:val="00AF0F24"/>
    <w:rsid w:val="00AF1C25"/>
    <w:rsid w:val="00AF20CD"/>
    <w:rsid w:val="00AF33CE"/>
    <w:rsid w:val="00AF5FCF"/>
    <w:rsid w:val="00B00903"/>
    <w:rsid w:val="00B00BB7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7481C"/>
    <w:rsid w:val="00B815EA"/>
    <w:rsid w:val="00B82053"/>
    <w:rsid w:val="00B827C2"/>
    <w:rsid w:val="00B82CB4"/>
    <w:rsid w:val="00B82CE6"/>
    <w:rsid w:val="00B85F96"/>
    <w:rsid w:val="00B90B7C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D313B"/>
    <w:rsid w:val="00BE5820"/>
    <w:rsid w:val="00BE5B27"/>
    <w:rsid w:val="00BE5BEF"/>
    <w:rsid w:val="00BF1745"/>
    <w:rsid w:val="00BF2748"/>
    <w:rsid w:val="00BF57F0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45C6"/>
    <w:rsid w:val="00C751AB"/>
    <w:rsid w:val="00C852A3"/>
    <w:rsid w:val="00C87714"/>
    <w:rsid w:val="00C93153"/>
    <w:rsid w:val="00C9318D"/>
    <w:rsid w:val="00C94872"/>
    <w:rsid w:val="00CA20F7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0F3A"/>
    <w:rsid w:val="00D4257F"/>
    <w:rsid w:val="00D4326F"/>
    <w:rsid w:val="00D4602D"/>
    <w:rsid w:val="00D64B4B"/>
    <w:rsid w:val="00D64C53"/>
    <w:rsid w:val="00D662E3"/>
    <w:rsid w:val="00D72707"/>
    <w:rsid w:val="00D747B4"/>
    <w:rsid w:val="00D74926"/>
    <w:rsid w:val="00D8774C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6E8A"/>
    <w:rsid w:val="00DD139E"/>
    <w:rsid w:val="00DD344E"/>
    <w:rsid w:val="00DD7536"/>
    <w:rsid w:val="00DD7683"/>
    <w:rsid w:val="00DE024C"/>
    <w:rsid w:val="00DF0534"/>
    <w:rsid w:val="00DF0CCC"/>
    <w:rsid w:val="00DF3D31"/>
    <w:rsid w:val="00E0621F"/>
    <w:rsid w:val="00E15644"/>
    <w:rsid w:val="00E15675"/>
    <w:rsid w:val="00E1660E"/>
    <w:rsid w:val="00E20A56"/>
    <w:rsid w:val="00E21CA4"/>
    <w:rsid w:val="00E25E6F"/>
    <w:rsid w:val="00E41E8E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B42"/>
    <w:rsid w:val="00EC607E"/>
    <w:rsid w:val="00EC6600"/>
    <w:rsid w:val="00ED0360"/>
    <w:rsid w:val="00ED3578"/>
    <w:rsid w:val="00ED51EE"/>
    <w:rsid w:val="00EE6AE4"/>
    <w:rsid w:val="00F0073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C5408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BD3"/>
  <w15:chartTrackingRefBased/>
  <w15:docId w15:val="{E5845AE8-49DC-444C-A658-292A381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val="x-none"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val="x-none"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val="x-none" w:eastAsia="ru-RU"/>
    </w:rPr>
  </w:style>
  <w:style w:type="paragraph" w:styleId="7">
    <w:name w:val="heading 7"/>
    <w:basedOn w:val="a2"/>
    <w:next w:val="a2"/>
    <w:link w:val="70"/>
    <w:uiPriority w:val="9"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uiPriority w:val="9"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customStyle="1" w:styleId="af4">
    <w:name w:val="Название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  <w:lang w:val="x-none" w:eastAsia="x-none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paragraph" w:styleId="aff7">
    <w:name w:val="No Spacing"/>
    <w:basedOn w:val="a2"/>
    <w:uiPriority w:val="99"/>
    <w:qFormat/>
    <w:rsid w:val="006A3EA1"/>
    <w:rPr>
      <w:rFonts w:ascii="Calibri" w:hAnsi="Calibri" w:cs="Calibri"/>
      <w:sz w:val="20"/>
      <w:szCs w:val="20"/>
      <w:lang w:val="en-US"/>
    </w:rPr>
  </w:style>
  <w:style w:type="paragraph" w:customStyle="1" w:styleId="ConsPlusNormal">
    <w:name w:val="ConsPlusNormal"/>
    <w:rsid w:val="006A3EA1"/>
    <w:pPr>
      <w:widowControl w:val="0"/>
      <w:autoSpaceDE w:val="0"/>
      <w:autoSpaceDN w:val="0"/>
    </w:pPr>
    <w:rPr>
      <w:rFonts w:eastAsiaTheme="minorEastAsi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AA13-F31C-48FB-ACEE-E87C77F5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17431</Words>
  <Characters>99358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cp:lastModifiedBy>Чиркова Юлия Михайловна</cp:lastModifiedBy>
  <cp:revision>2</cp:revision>
  <cp:lastPrinted>2019-02-15T04:39:00Z</cp:lastPrinted>
  <dcterms:created xsi:type="dcterms:W3CDTF">2024-04-17T10:52:00Z</dcterms:created>
  <dcterms:modified xsi:type="dcterms:W3CDTF">2024-04-17T10:52:00Z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36136</vt:lpwstr>
  </property>
  <property fmtid="{D5CDD505-2E9C-101B-9397-08002B2CF9AE}" pid="3" name="Дата регистрации проекта">
    <vt:lpwstr> </vt:lpwstr>
  </property>
  <property fmtid="{D5CDD505-2E9C-101B-9397-08002B2CF9AE}" pid="4" name="И.О. Фамилия подписывающего">
    <vt:lpwstr>В.А. Лашкарев</vt:lpwstr>
  </property>
  <property fmtid="{D5CDD505-2E9C-101B-9397-08002B2CF9AE}" pid="5" name="Полное название проекта">
    <vt:lpwstr>О внесении изменений в постановление Правительства Удмуртской Республики от 21 декабря 2023 года № 858 «Об утверждении Правил отбора проектов по созданию, модернизации и (или) реконструкции объектов инфраструктуры индустриальных парков, промышленных техно</vt:lpwstr>
  </property>
  <property fmtid="{D5CDD505-2E9C-101B-9397-08002B2CF9AE}" pid="6" name="Р*Подписывающий...*Должность">
    <vt:lpwstr>Министр</vt:lpwstr>
  </property>
  <property fmtid="{D5CDD505-2E9C-101B-9397-08002B2CF9AE}" pid="7" name="Р*Подписывающий...*Фамилия И.О.">
    <vt:lpwstr>Лашкарев Виктор Александрович</vt:lpwstr>
  </property>
  <property fmtid="{D5CDD505-2E9C-101B-9397-08002B2CF9AE}" pid="8" name="Регистрационный номер проекта">
    <vt:lpwstr> </vt:lpwstr>
  </property>
</Properties>
</file>